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olor w:val="000000"/>
          <w:sz w:val="32"/>
          <w:szCs w:val="21"/>
        </w:rPr>
      </w:pPr>
      <w:r>
        <w:rPr>
          <w:rFonts w:hint="eastAsia" w:ascii="黑体" w:hAnsi="宋体" w:eastAsia="黑体"/>
          <w:color w:val="000000"/>
          <w:sz w:val="32"/>
          <w:szCs w:val="21"/>
        </w:rPr>
        <w:t>附件：</w:t>
      </w:r>
    </w:p>
    <w:p>
      <w:pPr>
        <w:jc w:val="center"/>
        <w:rPr>
          <w:rFonts w:hint="eastAsia" w:ascii="宋体" w:hAnsi="宋体"/>
          <w:b/>
          <w:bCs/>
          <w:color w:val="000000"/>
          <w:sz w:val="44"/>
          <w:szCs w:val="21"/>
        </w:rPr>
      </w:pPr>
      <w:bookmarkStart w:id="0" w:name="_GoBack"/>
      <w:r>
        <w:rPr>
          <w:rFonts w:hint="eastAsia" w:ascii="宋体" w:hAnsi="宋体"/>
          <w:b/>
          <w:bCs/>
          <w:color w:val="000000"/>
          <w:sz w:val="44"/>
          <w:szCs w:val="21"/>
        </w:rPr>
        <w:t>2013年度物业服务企业信用等级评定暂定结果</w:t>
      </w:r>
    </w:p>
    <w:bookmarkEnd w:id="0"/>
    <w:tbl>
      <w:tblPr>
        <w:tblStyle w:val="6"/>
        <w:tblW w:w="15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520"/>
        <w:gridCol w:w="992"/>
        <w:gridCol w:w="851"/>
        <w:gridCol w:w="708"/>
        <w:gridCol w:w="851"/>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0"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4520" w:type="dxa"/>
            <w:vAlign w:val="center"/>
          </w:tcPr>
          <w:p>
            <w:pPr>
              <w:widowControl/>
              <w:jc w:val="center"/>
              <w:rPr>
                <w:rFonts w:ascii="宋体" w:hAnsi="宋体" w:cs="宋体"/>
                <w:b/>
                <w:bCs/>
                <w:kern w:val="0"/>
                <w:sz w:val="24"/>
              </w:rPr>
            </w:pPr>
            <w:r>
              <w:rPr>
                <w:rFonts w:hint="eastAsia" w:ascii="宋体" w:hAnsi="宋体" w:cs="宋体"/>
                <w:b/>
                <w:bCs/>
                <w:kern w:val="0"/>
                <w:sz w:val="24"/>
              </w:rPr>
              <w:t>物业公司名称</w:t>
            </w:r>
          </w:p>
        </w:tc>
        <w:tc>
          <w:tcPr>
            <w:tcW w:w="992" w:type="dxa"/>
            <w:vAlign w:val="center"/>
          </w:tcPr>
          <w:p>
            <w:pPr>
              <w:widowControl/>
              <w:jc w:val="center"/>
              <w:rPr>
                <w:rFonts w:ascii="宋体" w:hAnsi="宋体" w:cs="宋体"/>
                <w:b/>
                <w:bCs/>
                <w:kern w:val="0"/>
                <w:sz w:val="24"/>
              </w:rPr>
            </w:pPr>
            <w:r>
              <w:rPr>
                <w:rFonts w:hint="eastAsia" w:ascii="宋体" w:hAnsi="宋体" w:cs="宋体"/>
                <w:b/>
                <w:bCs/>
                <w:kern w:val="0"/>
                <w:sz w:val="24"/>
              </w:rPr>
              <w:t>基本分</w:t>
            </w:r>
          </w:p>
        </w:tc>
        <w:tc>
          <w:tcPr>
            <w:tcW w:w="851" w:type="dxa"/>
            <w:vAlign w:val="center"/>
          </w:tcPr>
          <w:p>
            <w:pPr>
              <w:widowControl/>
              <w:jc w:val="center"/>
              <w:rPr>
                <w:rFonts w:ascii="宋体" w:hAnsi="宋体" w:cs="宋体"/>
                <w:b/>
                <w:bCs/>
                <w:kern w:val="0"/>
                <w:sz w:val="24"/>
              </w:rPr>
            </w:pPr>
            <w:r>
              <w:rPr>
                <w:rFonts w:hint="eastAsia" w:ascii="宋体" w:hAnsi="宋体" w:cs="宋体"/>
                <w:b/>
                <w:bCs/>
                <w:kern w:val="0"/>
                <w:sz w:val="24"/>
              </w:rPr>
              <w:t>加分</w:t>
            </w:r>
          </w:p>
        </w:tc>
        <w:tc>
          <w:tcPr>
            <w:tcW w:w="708" w:type="dxa"/>
            <w:vAlign w:val="center"/>
          </w:tcPr>
          <w:p>
            <w:pPr>
              <w:widowControl/>
              <w:jc w:val="center"/>
              <w:rPr>
                <w:rFonts w:ascii="宋体" w:hAnsi="宋体" w:cs="宋体"/>
                <w:b/>
                <w:bCs/>
                <w:kern w:val="0"/>
                <w:sz w:val="24"/>
              </w:rPr>
            </w:pPr>
            <w:r>
              <w:rPr>
                <w:rFonts w:hint="eastAsia" w:ascii="宋体" w:hAnsi="宋体" w:cs="宋体"/>
                <w:b/>
                <w:bCs/>
                <w:kern w:val="0"/>
                <w:sz w:val="24"/>
              </w:rPr>
              <w:t>减分</w:t>
            </w:r>
          </w:p>
        </w:tc>
        <w:tc>
          <w:tcPr>
            <w:tcW w:w="851" w:type="dxa"/>
            <w:vAlign w:val="center"/>
          </w:tcPr>
          <w:p>
            <w:pPr>
              <w:widowControl/>
              <w:jc w:val="center"/>
              <w:rPr>
                <w:rFonts w:ascii="宋体" w:hAnsi="宋体" w:cs="宋体"/>
                <w:b/>
                <w:bCs/>
                <w:kern w:val="0"/>
                <w:sz w:val="24"/>
              </w:rPr>
            </w:pPr>
            <w:r>
              <w:rPr>
                <w:rFonts w:hint="eastAsia" w:ascii="宋体" w:hAnsi="宋体" w:cs="宋体"/>
                <w:b/>
                <w:bCs/>
                <w:kern w:val="0"/>
                <w:sz w:val="24"/>
              </w:rPr>
              <w:t>总分</w:t>
            </w:r>
          </w:p>
        </w:tc>
        <w:tc>
          <w:tcPr>
            <w:tcW w:w="7072" w:type="dxa"/>
            <w:vAlign w:val="center"/>
          </w:tcPr>
          <w:p>
            <w:pPr>
              <w:widowControl/>
              <w:jc w:val="center"/>
              <w:rPr>
                <w:rFonts w:ascii="宋体" w:hAnsi="宋体" w:cs="宋体"/>
                <w:b/>
                <w:bCs/>
                <w:kern w:val="0"/>
                <w:sz w:val="24"/>
              </w:rPr>
            </w:pPr>
            <w:r>
              <w:rPr>
                <w:rFonts w:hint="eastAsia" w:ascii="宋体" w:hAnsi="宋体" w:cs="宋体"/>
                <w:b/>
                <w:bCs/>
                <w:kern w:val="0"/>
                <w:sz w:val="24"/>
              </w:rPr>
              <w:t>加减分依据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4520"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自贡汇东物业管理有限公司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70</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165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龙汇家园小区获自贡十大幸福小区称号（自房局发〔2013〕20号）（三类（三）项）；丹桂时代家园、龙汇家园市物业管理优秀小区复验合格（自房局发〔2013〕28号）（三类（三）项）；2014年度党报党刊征订先进单位（自物协〔2013〕6号）（三类（三）项）；一年内经查实被投诉2次以上（丹桂时代家园）(A类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四川嘉宝资产管理集团有限公司自贡分公司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50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150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贡山壹号小区获自贡十大幸福小区称号（自房局发〔2013〕20号）、2013年度自贡市物业管理优秀住宅小区称号（三类（三）项）；2014年度党报党刊征订先进单位（自物协〔2013〕6号）（三类（三）项）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四川银丰洁强物业管理有限公司自贡分公司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55</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150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凯丽名城小区获自贡十大幸福小区称号（自房局发〔2013〕20号）（三类（三）项）；2014年度党报党刊征订先进单位（自物协〔2013〕6号）（三类（三）项）；资质升为二级（三类（二）项）；伊顿东方小区未向主管部门办理合同备案（A类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w:t>
            </w:r>
          </w:p>
        </w:tc>
        <w:tc>
          <w:tcPr>
            <w:tcW w:w="4520" w:type="dxa"/>
            <w:vAlign w:val="center"/>
          </w:tcPr>
          <w:p>
            <w:pPr>
              <w:widowControl/>
              <w:jc w:val="center"/>
              <w:rPr>
                <w:rFonts w:ascii="宋体" w:hAnsi="宋体" w:cs="宋体"/>
                <w:kern w:val="0"/>
                <w:szCs w:val="21"/>
              </w:rPr>
            </w:pPr>
            <w:r>
              <w:rPr>
                <w:rFonts w:hint="eastAsia" w:ascii="宋体" w:hAnsi="宋体" w:cs="宋体"/>
                <w:kern w:val="0"/>
                <w:szCs w:val="21"/>
              </w:rPr>
              <w:t>自贡市英祥物业管理有限公司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55</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145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青岗丽景苑小区获自贡十大幸福小区称号（自房局发〔2013〕20号）（三类（三）项）；资质升为二级（三类（二）项）；未报送法人快速统计表1次（B类第3项）；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自贡市东方物业有限公司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40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140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东锅科技大厦市物业管理优秀大厦复验合格（自房局发〔2013〕28号）（三类（三）项）；方冲小区获自贡十大幸福小区称号（自房局发〔2013〕20号）（三类（三）项）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成都中铁二局瑞城物业管理有限公司自贡分公司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30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130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檀木林国宾府小区获自贡十大幸福小区称号（自房局发〔2013〕20号）（三类（三）项）；2014年度党报党刊征订先进单位（自物协〔2013〕6号）（三类（三）项）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自贡市中油能源开发有限公司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25</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125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三圆小区省物业管理优秀小区复验合格（川建房发〔2013〕605号）（三类（二）项）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8</w:t>
            </w:r>
          </w:p>
        </w:tc>
        <w:tc>
          <w:tcPr>
            <w:tcW w:w="4520" w:type="dxa"/>
            <w:vAlign w:val="center"/>
          </w:tcPr>
          <w:p>
            <w:pPr>
              <w:widowControl/>
              <w:jc w:val="center"/>
              <w:rPr>
                <w:rFonts w:ascii="宋体" w:hAnsi="宋体" w:cs="宋体"/>
                <w:kern w:val="0"/>
                <w:szCs w:val="21"/>
              </w:rPr>
            </w:pPr>
            <w:r>
              <w:rPr>
                <w:rFonts w:hint="eastAsia" w:ascii="宋体" w:hAnsi="宋体" w:cs="宋体"/>
                <w:kern w:val="0"/>
                <w:szCs w:val="21"/>
              </w:rPr>
              <w:t>四川志升资产管理有限公司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25</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125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翰林尚舒房小区获省物业管理优秀小区称号（川建房发〔2013〕605号）（三类（二）项）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9</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自贡市锦诚物业有限公司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30</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120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尚东国际小区获自贡十大幸福小区称号（自房局发〔2013〕20号）（三类（三）项）；2014年度党报党刊征订先进单位（自物协〔2013〕6号）（三类（三）项）；远达空中花园被主管部门责令限期改正（B类第17项）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自贡市广厦物业开发中心</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120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清华苑小区获自贡十大幸福小区称号（自房局发〔2013〕20号）（三类（三）项）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11</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自贡市安宁物业管理有限责任公司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30</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绿洲花园市物业管理优秀小区复验合格（自房局发〔2013〕28号）（三类（三）项）；汇景苑小区被主管部门责令限期改正（B类第17项）；未按规定及时提供物业服务企业及其从业人员信用信息（A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12</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成都仁邦物业管理有限公司自贡分公司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盐都花园小区获2013年度自贡市物业管理优秀住宅小区称号（自房局发〔2013〕28号）（三类（三）项）；对可能发生的治安、消防等突发事件没有应急预案等（B类第13项）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13</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自贡市光大物业管理公司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14</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自贡市明君物业管理有限公司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15</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自贡市紫檀资产管理有限公司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16</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四川新华物业有限公司自贡分公司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17</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自贡亿盛商业管理有限公司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18</w:t>
            </w:r>
          </w:p>
        </w:tc>
        <w:tc>
          <w:tcPr>
            <w:tcW w:w="4520" w:type="dxa"/>
            <w:vAlign w:val="center"/>
          </w:tcPr>
          <w:p>
            <w:pPr>
              <w:widowControl/>
              <w:jc w:val="center"/>
              <w:rPr>
                <w:rFonts w:ascii="宋体" w:hAnsi="宋体" w:cs="宋体"/>
                <w:kern w:val="0"/>
                <w:szCs w:val="21"/>
              </w:rPr>
            </w:pPr>
            <w:r>
              <w:rPr>
                <w:rFonts w:hint="eastAsia" w:ascii="宋体" w:hAnsi="宋体" w:cs="宋体"/>
                <w:kern w:val="0"/>
                <w:szCs w:val="21"/>
              </w:rPr>
              <w:t>自贡市君阳物业有限公司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19</w:t>
            </w:r>
          </w:p>
        </w:tc>
        <w:tc>
          <w:tcPr>
            <w:tcW w:w="4520" w:type="dxa"/>
            <w:vAlign w:val="center"/>
          </w:tcPr>
          <w:p>
            <w:pPr>
              <w:widowControl/>
              <w:jc w:val="center"/>
              <w:rPr>
                <w:rFonts w:ascii="宋体" w:hAnsi="宋体" w:cs="宋体"/>
                <w:kern w:val="0"/>
                <w:szCs w:val="21"/>
              </w:rPr>
            </w:pPr>
            <w:r>
              <w:rPr>
                <w:rFonts w:hint="eastAsia" w:ascii="宋体" w:hAnsi="宋体" w:cs="宋体"/>
                <w:kern w:val="0"/>
                <w:szCs w:val="21"/>
              </w:rPr>
              <w:t>成都世高物业管理有限公司自贡分公司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四川衡易物业管理有限公司自贡分公司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21</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自贡华商物业有限公司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22</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自贡市和居物业管理有限公司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23</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自贡盈盛置业服务有限公司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110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24</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富顺县上城物业有限公司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超越资质等级承接物业管理业务（北湖上城项目）（C类第1项）；北湖半岛小区获2013年度自贡市物业管理优秀住宅小区称号（自房局发〔2013〕28号）（三类（三）项）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25</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富顺县世纪物业渣土运输服务有限责任公司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26</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富顺县富南物业管理有限公司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27</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富顺县富州房地产开发物业管理公司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28</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富顺县钟诚物业有限公司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29</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富顺县元祥物业有限公司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30</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富顺县川阳物业管理有限公司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31</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自贡市东方广场发展有限公司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32</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自贡市久大物业管理有限责任公司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33</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四川省自贡温州商城实业发展有限公司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34</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自贡市协和物业管理服务有限公司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35</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自贡市东星物业有限公司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36</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自贡市恒商物业管理有限公司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37</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自贡海润物业有限公司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38</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上海卓康物业管理有限公司自贡分公司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39</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自贡万和丰物业有限公司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40</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自贡熙街物业服务有限公司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41</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深圳市彩生活物业管理有限公司自贡分公司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42</w:t>
            </w:r>
          </w:p>
        </w:tc>
        <w:tc>
          <w:tcPr>
            <w:tcW w:w="4520" w:type="dxa"/>
            <w:vAlign w:val="center"/>
          </w:tcPr>
          <w:p>
            <w:pPr>
              <w:widowControl/>
              <w:jc w:val="center"/>
              <w:rPr>
                <w:rFonts w:ascii="宋体" w:hAnsi="宋体" w:cs="宋体"/>
                <w:kern w:val="0"/>
                <w:szCs w:val="21"/>
              </w:rPr>
            </w:pPr>
            <w:r>
              <w:rPr>
                <w:rFonts w:hint="eastAsia" w:ascii="宋体" w:hAnsi="宋体" w:cs="宋体"/>
                <w:kern w:val="0"/>
                <w:szCs w:val="21"/>
              </w:rPr>
              <w:t>成都金房物业服务有限公司自贡分公司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43</w:t>
            </w:r>
          </w:p>
        </w:tc>
        <w:tc>
          <w:tcPr>
            <w:tcW w:w="4520"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宜宾县开泰物业管理有限公司自贡分公司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44</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四川天府绿洲物业管理有限责任公司自贡办事处</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45</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金碧物业有限公司自贡分公司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46</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自贡市佳缘物业有限公司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47</w:t>
            </w:r>
          </w:p>
        </w:tc>
        <w:tc>
          <w:tcPr>
            <w:tcW w:w="4520"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自贡市楠桂苑物业管理有限公司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48</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自贡市海普物业有限责任公司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2014年度党报党刊征订先进单位（自物协〔2013〕6号）（三类（三）项）；凯悦星城小区被主管部门责令限期改正（B类第17项）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49</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自贡市马吃水物业有限公司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50</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自贡嘉丰皮革城管理有限公司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51</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自贡泰禾置业有限公司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52</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自贡建源农业综合开发有限公司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53</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自贡市中泰资产管理有限公司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54</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自贡市兴元物业管理有限公司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55</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成都德昌行物业服务有限公司自贡分公司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56</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四川丽都物业管理有限公司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57</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荣县吉鑫物业管理有限公司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58</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荣县旭升物业管理有限公司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59</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荣县兴荣物业管理有限公司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60</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自贡品诚物业管理有限公司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61</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四川天皓物业服务有限公司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62</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自贡市新城物业有限公司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龙湖郡小区获自贡十大幸福小区称号（自房局发〔2013〕20号）（三类（三）项）；未报送安全隐患周报2次（B类第3项）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63</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荣县华卓物业管理有限公司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95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未按规定公开报修电话、投诉电话、办事制度等（A类第2项）；未按规定或约定公布相关收支账目（B类第5项）；2014年度党报党刊征订先进单位（自物协〔2013〕6号）（三类（三）项）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64</w:t>
            </w:r>
          </w:p>
        </w:tc>
        <w:tc>
          <w:tcPr>
            <w:tcW w:w="4520" w:type="dxa"/>
            <w:vAlign w:val="center"/>
          </w:tcPr>
          <w:p>
            <w:pPr>
              <w:widowControl/>
              <w:jc w:val="center"/>
              <w:rPr>
                <w:rFonts w:ascii="宋体" w:hAnsi="宋体" w:cs="宋体"/>
                <w:kern w:val="0"/>
                <w:szCs w:val="21"/>
              </w:rPr>
            </w:pPr>
            <w:r>
              <w:rPr>
                <w:rFonts w:hint="eastAsia" w:ascii="宋体" w:hAnsi="宋体" w:cs="宋体"/>
                <w:kern w:val="0"/>
                <w:szCs w:val="21"/>
              </w:rPr>
              <w:t>四川瑞锦物业管理有限公司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90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理工E家被主管部门责令限期改正（B类第17项）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65</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自贡康居物业有限公司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90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未报送法人快速统计报表1次（B类第3项）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66</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自贡市通达物业管理有限公司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90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未报送法人快速统计报表1次（B类第3项）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67</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自贡市兴大物业管理有限公司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90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未报送法人快速统计报表1次（B类第3项）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68</w:t>
            </w:r>
          </w:p>
        </w:tc>
        <w:tc>
          <w:tcPr>
            <w:tcW w:w="4520"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自贡竞诚物业管理有限公司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90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天骄国际被主管部门责令限期改正（B类第17项）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69</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自贡大西洋物业管理有限公司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90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未报送法人快速统计报表1次（B类第3项）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70</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荣县荣泰物业管理有限公司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90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对可能发生的治安、消防等突发事件没有应急预案等（B类第13项）；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71</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自贡市才德物业管理有限公司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90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对可能发生的治安、消防等突发事件没有应急预案等（B类第13项）；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72</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荣县鑫丰物业管理有限公司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90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对可能发生的治安、消防等突发事件没有应急预案等（B类第13项）；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73</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自贡市林达物业管理有限公司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85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未按规定办理资质变更手续（C类第3项）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74</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富顺县金山物业有限公司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85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未按相关规定或者技术规范对共用设施设备进行检测、养护（半岛别院项目）（C类第9项）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75</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自贡市蜀能电力物业公司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85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未按规定办理资质变更手续（C类第3项）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76</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自贡祥云物业有限公司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-15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85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未按规定办理资质变更手续（C类第3项）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77</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成都恒安五洲物业管理有限公司自贡分公司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80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无正当理由，不配合主管部门依法开展检查（扣分D类19项）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78</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自贡明亮物业管理有限公司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80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违反政策规定收费，被主管部门责令改正（凯旋城项目）（C类第4项）；一年中经查实被投诉2次以上（A类第3项）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79</w:t>
            </w:r>
          </w:p>
        </w:tc>
        <w:tc>
          <w:tcPr>
            <w:tcW w:w="4520"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自贡好家园物业有限责任公司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80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未报送物业基层统计表1次、法人快速统计表1次（B类第3项）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80</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自贡市帅旗物业管理有限公司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80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未按规定及时提供物业服务企业及其从业人员信用信息（A类第1项）；对可能发生的治安、消防等突发事件没有应急预案等（B类第13项）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81</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自贡市红山物业服务有限责任公司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-25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75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对可能发生的治安、消防等突发事件没有应急预案，在容易危及人身安全处没有设置警示标志和采取相应防范措施（B类第13项）；未按相关规定或技术规范对共用设施设备进行检测、养护（C类第9项）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82</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四川怡康物业管理有限公司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-25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75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怡景湾小区拒不执行主管部门作出的限期改正决定（E类第10项）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83</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自贡市荣光物业管理有限公司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-25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75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荣光苑小区未按规定程序退出物业管理项目并做好物业管理移交工作（E类第1项）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84</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荣县星河物业管理有限公司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-25</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75</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对可能发生的治安、消防等突发事件没有应急预案等（B类第13项）；未经业主大会同意，擅自利用物业共用部位、共用设施设备进行经营（C类第8项）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85</w:t>
            </w:r>
          </w:p>
        </w:tc>
        <w:tc>
          <w:tcPr>
            <w:tcW w:w="4520" w:type="dxa"/>
            <w:vAlign w:val="center"/>
          </w:tcPr>
          <w:p>
            <w:pPr>
              <w:widowControl/>
              <w:jc w:val="center"/>
              <w:rPr>
                <w:rFonts w:ascii="宋体" w:hAnsi="宋体" w:cs="宋体"/>
                <w:kern w:val="0"/>
                <w:sz w:val="24"/>
              </w:rPr>
            </w:pPr>
            <w:r>
              <w:rPr>
                <w:rFonts w:hint="eastAsia" w:ascii="宋体" w:hAnsi="宋体" w:cs="宋体"/>
                <w:kern w:val="0"/>
                <w:sz w:val="24"/>
              </w:rPr>
              <w:t>四川燊海物业管理有限责任公司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-30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70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迟报统计报表3次（B类第3项）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0" w:type="dxa"/>
            <w:vAlign w:val="center"/>
          </w:tcPr>
          <w:p>
            <w:pPr>
              <w:widowControl/>
              <w:jc w:val="center"/>
              <w:rPr>
                <w:rFonts w:ascii="宋体" w:hAnsi="宋体" w:cs="宋体"/>
                <w:kern w:val="0"/>
                <w:sz w:val="24"/>
              </w:rPr>
            </w:pPr>
            <w:r>
              <w:rPr>
                <w:rFonts w:hint="eastAsia" w:ascii="宋体" w:hAnsi="宋体" w:cs="宋体"/>
                <w:kern w:val="0"/>
                <w:sz w:val="24"/>
              </w:rPr>
              <w:t>86</w:t>
            </w:r>
          </w:p>
        </w:tc>
        <w:tc>
          <w:tcPr>
            <w:tcW w:w="4520" w:type="dxa"/>
            <w:vAlign w:val="center"/>
          </w:tcPr>
          <w:p>
            <w:pPr>
              <w:widowControl/>
              <w:jc w:val="center"/>
              <w:rPr>
                <w:rFonts w:ascii="宋体" w:hAnsi="宋体" w:cs="宋体"/>
                <w:kern w:val="0"/>
                <w:sz w:val="22"/>
                <w:szCs w:val="22"/>
              </w:rPr>
            </w:pPr>
            <w:r>
              <w:rPr>
                <w:rFonts w:hint="eastAsia" w:ascii="宋体" w:hAnsi="宋体" w:cs="宋体"/>
                <w:kern w:val="0"/>
                <w:sz w:val="22"/>
                <w:szCs w:val="22"/>
              </w:rPr>
              <w:t>自贡安居物业有限公司</w:t>
            </w:r>
          </w:p>
        </w:tc>
        <w:tc>
          <w:tcPr>
            <w:tcW w:w="992" w:type="dxa"/>
            <w:vAlign w:val="center"/>
          </w:tcPr>
          <w:p>
            <w:pPr>
              <w:widowControl/>
              <w:jc w:val="center"/>
              <w:rPr>
                <w:rFonts w:ascii="宋体" w:hAnsi="宋体" w:cs="宋体"/>
                <w:kern w:val="0"/>
                <w:sz w:val="24"/>
              </w:rPr>
            </w:pPr>
            <w:r>
              <w:rPr>
                <w:rFonts w:hint="eastAsia" w:ascii="宋体" w:hAnsi="宋体" w:cs="宋体"/>
                <w:kern w:val="0"/>
                <w:sz w:val="24"/>
              </w:rPr>
              <w:t>100</w:t>
            </w:r>
          </w:p>
        </w:tc>
        <w:tc>
          <w:tcPr>
            <w:tcW w:w="851" w:type="dxa"/>
            <w:vAlign w:val="center"/>
          </w:tcPr>
          <w:p>
            <w:pPr>
              <w:widowControl/>
              <w:jc w:val="center"/>
              <w:rPr>
                <w:rFonts w:ascii="宋体" w:hAnsi="宋体" w:cs="宋体"/>
                <w:kern w:val="0"/>
                <w:sz w:val="24"/>
              </w:rPr>
            </w:pPr>
          </w:p>
        </w:tc>
        <w:tc>
          <w:tcPr>
            <w:tcW w:w="708" w:type="dxa"/>
            <w:vAlign w:val="center"/>
          </w:tcPr>
          <w:p>
            <w:pPr>
              <w:widowControl/>
              <w:jc w:val="center"/>
              <w:rPr>
                <w:rFonts w:ascii="宋体" w:hAnsi="宋体" w:cs="宋体"/>
                <w:kern w:val="0"/>
                <w:sz w:val="24"/>
              </w:rPr>
            </w:pPr>
            <w:r>
              <w:rPr>
                <w:rFonts w:hint="eastAsia" w:ascii="宋体" w:hAnsi="宋体" w:cs="宋体"/>
                <w:kern w:val="0"/>
                <w:sz w:val="24"/>
              </w:rPr>
              <w:t>-50</w:t>
            </w:r>
          </w:p>
        </w:tc>
        <w:tc>
          <w:tcPr>
            <w:tcW w:w="851" w:type="dxa"/>
            <w:vAlign w:val="center"/>
          </w:tcPr>
          <w:p>
            <w:pPr>
              <w:widowControl/>
              <w:jc w:val="center"/>
              <w:rPr>
                <w:rFonts w:ascii="宋体" w:hAnsi="宋体" w:cs="宋体"/>
                <w:kern w:val="0"/>
                <w:sz w:val="24"/>
              </w:rPr>
            </w:pPr>
            <w:r>
              <w:rPr>
                <w:rFonts w:hint="eastAsia" w:ascii="宋体" w:hAnsi="宋体" w:cs="宋体"/>
                <w:kern w:val="0"/>
                <w:sz w:val="24"/>
              </w:rPr>
              <w:t>50</w:t>
            </w:r>
          </w:p>
        </w:tc>
        <w:tc>
          <w:tcPr>
            <w:tcW w:w="7072" w:type="dxa"/>
            <w:vAlign w:val="center"/>
          </w:tcPr>
          <w:p>
            <w:pPr>
              <w:widowControl/>
              <w:rPr>
                <w:rFonts w:ascii="宋体" w:hAnsi="宋体" w:cs="宋体"/>
                <w:kern w:val="0"/>
                <w:sz w:val="20"/>
                <w:szCs w:val="20"/>
              </w:rPr>
            </w:pPr>
            <w:r>
              <w:rPr>
                <w:rFonts w:hint="eastAsia" w:ascii="宋体" w:hAnsi="宋体" w:cs="宋体"/>
                <w:kern w:val="0"/>
                <w:sz w:val="20"/>
                <w:szCs w:val="20"/>
              </w:rPr>
              <w:t>旭水河畔小区前期物业服务合同终止时不按照规定移交有关资料（D类第6项）；未报送物业基层统计表和安全隐患周报3次（B类第3项）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no value">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443E3"/>
    <w:rsid w:val="305443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2016-10-17T01:54:00Z</dcterms:created>
  <dc:creator>Administrator</dc:creator>
  <cp:lastModifiedBy>Administrator</cp:lastModifiedBy>
  <dcterms:modified xsi:type="dcterms:W3CDTF">2016-10-17T01:55:41Z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