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附件：</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ascii="仿宋" w:hAnsi="仿宋" w:eastAsia="仿宋"/>
        </w:rPr>
        <mc:AlternateContent>
          <mc:Choice Requires="wps">
            <w:drawing>
              <wp:anchor distT="0" distB="0" distL="114300" distR="114300" simplePos="0" relativeHeight="251661312" behindDoc="0" locked="0" layoutInCell="1" allowOverlap="1">
                <wp:simplePos x="0" y="0"/>
                <wp:positionH relativeFrom="column">
                  <wp:posOffset>-155575</wp:posOffset>
                </wp:positionH>
                <wp:positionV relativeFrom="paragraph">
                  <wp:posOffset>207645</wp:posOffset>
                </wp:positionV>
                <wp:extent cx="5208905" cy="1365250"/>
                <wp:effectExtent l="4445" t="4445" r="6350" b="20955"/>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086350" cy="1228725"/>
                        </a:xfrm>
                        <a:prstGeom prst="rect">
                          <a:avLst/>
                        </a:prstGeom>
                        <a:solidFill>
                          <a:sysClr val="window" lastClr="FFFFFF"/>
                        </a:solidFill>
                        <a:ln w="9525">
                          <a:solidFill>
                            <a:sysClr val="window" lastClr="FFFFFF"/>
                          </a:solidFill>
                          <a:miter lim="800000"/>
                        </a:ln>
                        <a:effectLst/>
                      </wps:spPr>
                      <wps:txbx>
                        <w:txbxContent>
                          <w:p>
                            <w:pPr>
                              <w:adjustRightInd w:val="0"/>
                              <w:snapToGrid w:val="0"/>
                              <w:spacing w:line="190" w:lineRule="auto"/>
                              <w:rPr>
                                <w:rFonts w:hint="eastAsia" w:ascii="方正大标宋简体" w:eastAsia="方正大标宋简体"/>
                                <w:color w:val="FF0000"/>
                                <w:w w:val="62"/>
                                <w:kern w:val="13"/>
                                <w:sz w:val="78"/>
                                <w:szCs w:val="78"/>
                              </w:rPr>
                            </w:pPr>
                            <w:r>
                              <w:rPr>
                                <w:rFonts w:hint="eastAsia" w:ascii="方正大标宋简体" w:eastAsia="方正大标宋简体"/>
                                <w:color w:val="FF0000"/>
                                <w:w w:val="62"/>
                                <w:kern w:val="13"/>
                                <w:sz w:val="78"/>
                                <w:szCs w:val="78"/>
                              </w:rPr>
                              <w:t>四川省房地产业协会物业管理专委会</w:t>
                            </w:r>
                          </w:p>
                          <w:p>
                            <w:pPr>
                              <w:adjustRightInd w:val="0"/>
                              <w:snapToGrid w:val="0"/>
                              <w:spacing w:line="190" w:lineRule="auto"/>
                              <w:jc w:val="distribute"/>
                              <w:rPr>
                                <w:rFonts w:ascii="方正大标宋简体" w:eastAsia="方正大标宋简体"/>
                                <w:color w:val="FF0000"/>
                                <w:w w:val="62"/>
                                <w:sz w:val="78"/>
                                <w:szCs w:val="78"/>
                              </w:rPr>
                            </w:pPr>
                            <w:r>
                              <w:rPr>
                                <w:rFonts w:hint="eastAsia" w:ascii="方正大标宋简体" w:eastAsia="方正大标宋简体"/>
                                <w:color w:val="FF0000"/>
                                <w:w w:val="62"/>
                                <w:sz w:val="78"/>
                                <w:szCs w:val="78"/>
                              </w:rPr>
                              <w:t>成都市物业管理协会</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2.25pt;margin-top:16.35pt;height:107.5pt;width:410.15pt;z-index:251661312;mso-width-relative:margin;mso-height-relative:margin;" fillcolor="#FFFFFF" filled="t" stroked="t" coordsize="21600,21600" o:gfxdata="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mKrp/ZAAAACgEAAA8AAAAAAAAAAQAgAAAAIgAAAGRycy9kb3ducmV2LnhtbFBL&#10;AQIUABQAAAAIAIdO4kB1KbDnLgIAAF4EAAAOAAAAAAAAAAEAIAAAACgBAABkcnMvZTJvRG9jLnht&#10;bFBLBQYAAAAABgAGAFkBAADIBQAAAAA=&#10;">
                <v:path/>
                <v:fill on="t" focussize="0,0"/>
                <v:stroke color="#FFFFFF"/>
                <v:imagedata o:title=""/>
                <o:lock v:ext="edit" grouping="f" rotation="f" text="f" aspectratio="f"/>
                <v:textbox>
                  <w:txbxContent>
                    <w:p>
                      <w:pPr>
                        <w:adjustRightInd w:val="0"/>
                        <w:snapToGrid w:val="0"/>
                        <w:spacing w:line="190" w:lineRule="auto"/>
                        <w:rPr>
                          <w:rFonts w:hint="eastAsia" w:ascii="方正大标宋简体" w:eastAsia="方正大标宋简体"/>
                          <w:color w:val="FF0000"/>
                          <w:w w:val="62"/>
                          <w:kern w:val="13"/>
                          <w:sz w:val="78"/>
                          <w:szCs w:val="78"/>
                        </w:rPr>
                      </w:pPr>
                      <w:r>
                        <w:rPr>
                          <w:rFonts w:hint="eastAsia" w:ascii="方正大标宋简体" w:eastAsia="方正大标宋简体"/>
                          <w:color w:val="FF0000"/>
                          <w:w w:val="62"/>
                          <w:kern w:val="13"/>
                          <w:sz w:val="78"/>
                          <w:szCs w:val="78"/>
                        </w:rPr>
                        <w:t>四川省房地产业协会物业管理专委会</w:t>
                      </w:r>
                    </w:p>
                    <w:p>
                      <w:pPr>
                        <w:adjustRightInd w:val="0"/>
                        <w:snapToGrid w:val="0"/>
                        <w:spacing w:line="190" w:lineRule="auto"/>
                        <w:jc w:val="distribute"/>
                        <w:rPr>
                          <w:rFonts w:ascii="方正大标宋简体" w:eastAsia="方正大标宋简体"/>
                          <w:color w:val="FF0000"/>
                          <w:w w:val="62"/>
                          <w:sz w:val="78"/>
                          <w:szCs w:val="78"/>
                        </w:rPr>
                      </w:pPr>
                      <w:r>
                        <w:rPr>
                          <w:rFonts w:hint="eastAsia" w:ascii="方正大标宋简体" w:eastAsia="方正大标宋简体"/>
                          <w:color w:val="FF0000"/>
                          <w:w w:val="62"/>
                          <w:sz w:val="78"/>
                          <w:szCs w:val="78"/>
                        </w:rPr>
                        <w:t>成都市物业管理协会</w:t>
                      </w:r>
                    </w:p>
                  </w:txbxContent>
                </v:textbox>
              </v:shape>
            </w:pict>
          </mc:Fallback>
        </mc:AlternateContent>
      </w:r>
    </w:p>
    <w:p>
      <w:pPr>
        <w:adjustRightInd w:val="0"/>
        <w:snapToGrid w:val="0"/>
        <w:spacing w:before="1143" w:beforeLines="300" w:line="276" w:lineRule="auto"/>
        <w:rPr>
          <w:rFonts w:hint="eastAsia" w:ascii="仿宋" w:hAnsi="仿宋" w:eastAsia="仿宋"/>
        </w:rPr>
      </w:pPr>
      <w:r>
        <w:rPr>
          <w:rFonts w:ascii="仿宋" w:hAnsi="仿宋" w:eastAsia="仿宋"/>
        </w:rPr>
        <mc:AlternateContent>
          <mc:Choice Requires="wps">
            <w:drawing>
              <wp:anchor distT="0" distB="0" distL="114300" distR="114300" simplePos="0" relativeHeight="251662336" behindDoc="0" locked="0" layoutInCell="1" allowOverlap="1">
                <wp:simplePos x="0" y="0"/>
                <wp:positionH relativeFrom="column">
                  <wp:posOffset>4989830</wp:posOffset>
                </wp:positionH>
                <wp:positionV relativeFrom="paragraph">
                  <wp:posOffset>13335</wp:posOffset>
                </wp:positionV>
                <wp:extent cx="1211580" cy="1147445"/>
                <wp:effectExtent l="12700" t="0" r="13970" b="20955"/>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52525" cy="1123950"/>
                        </a:xfrm>
                        <a:prstGeom prst="rect">
                          <a:avLst/>
                        </a:prstGeom>
                        <a:solidFill>
                          <a:sysClr val="window" lastClr="FFFFFF"/>
                        </a:solidFill>
                        <a:ln w="25400" cap="flat" cmpd="sng" algn="ctr">
                          <a:solidFill>
                            <a:sysClr val="window" lastClr="FFFFFF"/>
                          </a:solidFill>
                          <a:prstDash val="solid"/>
                        </a:ln>
                        <a:effectLst/>
                      </wps:spPr>
                      <wps:txbx>
                        <w:txbxContent>
                          <w:p>
                            <w:pPr>
                              <w:rPr>
                                <w:rFonts w:hint="eastAsia" w:ascii="方正小标宋简体" w:eastAsia="方正小标宋简体"/>
                                <w:color w:val="FF0000"/>
                                <w:w w:val="70"/>
                                <w:sz w:val="100"/>
                                <w:szCs w:val="100"/>
                              </w:rPr>
                            </w:pPr>
                            <w:r>
                              <w:rPr>
                                <w:rFonts w:hint="eastAsia" w:ascii="方正小标宋简体" w:eastAsia="方正小标宋简体"/>
                                <w:color w:val="FF0000"/>
                                <w:w w:val="70"/>
                                <w:sz w:val="100"/>
                                <w:szCs w:val="100"/>
                              </w:rPr>
                              <w:t>文件</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92.9pt;margin-top:1.05pt;height:90.35pt;width:95.4pt;z-index:251662336;mso-width-relative:margin;mso-height-relative:margin;" fillcolor="#FFFFFF" filled="t" stroked="t" insetpen="f" coordsize="21600,21600" o:gfxdata="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OCfdGPYAAAACQEAAA8AAAAAAAAAAQAgAAAAIgAA&#10;AGRycy9kb3ducmV2LnhtbFBLAQIUABQAAAAIAIdO4kBRWhWfQQIAAIAEAAAOAAAAAAAAAAEAIAAA&#10;ACcBAABkcnMvZTJvRG9jLnhtbFBLBQYAAAAABgAGAFkBAADaBQAAAAA=&#10;">
                <v:path/>
                <v:fill on="t" focussize="0,0"/>
                <v:stroke weight="2pt" color="#FFFFFF"/>
                <v:imagedata o:title=""/>
                <o:lock v:ext="edit" grouping="f" rotation="f" text="f" aspectratio="f"/>
                <v:textbox>
                  <w:txbxContent>
                    <w:p>
                      <w:pPr>
                        <w:rPr>
                          <w:rFonts w:hint="eastAsia" w:ascii="方正小标宋简体" w:eastAsia="方正小标宋简体"/>
                          <w:color w:val="FF0000"/>
                          <w:w w:val="70"/>
                          <w:sz w:val="100"/>
                          <w:szCs w:val="100"/>
                        </w:rPr>
                      </w:pPr>
                      <w:r>
                        <w:rPr>
                          <w:rFonts w:hint="eastAsia" w:ascii="方正小标宋简体" w:eastAsia="方正小标宋简体"/>
                          <w:color w:val="FF0000"/>
                          <w:w w:val="70"/>
                          <w:sz w:val="100"/>
                          <w:szCs w:val="100"/>
                        </w:rPr>
                        <w:t>文件</w:t>
                      </w:r>
                    </w:p>
                  </w:txbxContent>
                </v:textbox>
              </v:shape>
            </w:pict>
          </mc:Fallback>
        </mc:AlternateContent>
      </w:r>
      <w:r>
        <w:rPr>
          <w:rFonts w:hint="eastAsia" w:ascii="仿宋" w:hAnsi="仿宋" w:eastAsia="仿宋"/>
        </w:rPr>
        <w:t>8</w:t>
      </w:r>
    </w:p>
    <w:p>
      <w:pPr>
        <w:adjustRightInd w:val="0"/>
        <w:snapToGrid w:val="0"/>
        <w:spacing w:before="381" w:beforeLines="100" w:line="276" w:lineRule="auto"/>
        <w:jc w:val="right"/>
        <w:rPr>
          <w:rFonts w:hint="eastAsia" w:ascii="仿宋" w:hAnsi="仿宋" w:eastAsia="仿宋"/>
        </w:rPr>
      </w:pPr>
    </w:p>
    <w:p>
      <w:pPr>
        <w:adjustRightInd w:val="0"/>
        <w:snapToGrid w:val="0"/>
        <w:spacing w:line="276" w:lineRule="auto"/>
        <w:jc w:val="center"/>
        <w:rPr>
          <w:rFonts w:hint="eastAsia" w:ascii="仿宋" w:hAnsi="仿宋" w:eastAsia="仿宋"/>
          <w:sz w:val="32"/>
        </w:rPr>
      </w:pPr>
    </w:p>
    <w:p>
      <w:pPr>
        <w:adjustRightInd w:val="0"/>
        <w:snapToGrid w:val="0"/>
        <w:spacing w:line="276" w:lineRule="auto"/>
        <w:jc w:val="center"/>
        <w:rPr>
          <w:rFonts w:hint="eastAsia" w:ascii="仿宋" w:hAnsi="仿宋" w:eastAsia="仿宋"/>
        </w:rPr>
      </w:pPr>
      <w:r>
        <w:rPr>
          <w:rFonts w:hint="eastAsia" w:ascii="仿宋" w:hAnsi="仿宋" w:eastAsia="仿宋"/>
          <w:sz w:val="32"/>
        </w:rPr>
        <w:t>川房协物专委联发〔2018〕01号</w:t>
      </w:r>
    </w:p>
    <w:p>
      <w:pPr>
        <w:adjustRightInd w:val="0"/>
        <w:snapToGrid w:val="0"/>
        <w:spacing w:before="571" w:beforeLines="150" w:line="276" w:lineRule="auto"/>
        <w:jc w:val="center"/>
        <w:rPr>
          <w:rFonts w:hint="eastAsia" w:ascii="仿宋" w:hAnsi="仿宋" w:eastAsia="仿宋"/>
          <w:b/>
          <w:sz w:val="44"/>
          <w:szCs w:val="44"/>
        </w:rPr>
      </w:pPr>
      <w:bookmarkStart w:id="0" w:name="_GoBack"/>
      <w:r>
        <w:rPr>
          <w:rFonts w:ascii="仿宋" w:hAnsi="仿宋" w:eastAsia="仿宋"/>
          <w:b/>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34290</wp:posOffset>
                </wp:positionV>
                <wp:extent cx="5723255" cy="0"/>
                <wp:effectExtent l="0" t="0" r="0" b="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5723255" cy="0"/>
                        </a:xfrm>
                        <a:prstGeom prst="straightConnector1">
                          <a:avLst/>
                        </a:prstGeom>
                        <a:noFill/>
                        <a:ln w="22225">
                          <a:solidFill>
                            <a:srgbClr val="FF0000"/>
                          </a:solidFill>
                          <a:round/>
                        </a:ln>
                        <a:effectLst/>
                      </wps:spPr>
                      <wps:bodyPr/>
                    </wps:wsp>
                  </a:graphicData>
                </a:graphic>
              </wp:anchor>
            </w:drawing>
          </mc:Choice>
          <mc:Fallback>
            <w:pict>
              <v:shape id="_x0000_s1026" o:spid="_x0000_s1026" o:spt="32" type="#_x0000_t32" style="position:absolute;left:0pt;margin-left:0.05pt;margin-top:2.7pt;height:0pt;width:450.65pt;z-index:251663360;mso-width-relative:page;mso-height-relative:page;" filled="f" stroked="t" coordsize="21600,21600" o:gfxdata="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IVR0P0gAAAAQBAAAPAAAAAAAA&#10;AAEAIAAAACIAAABkcnMvZG93bnJldi54bWxQSwECFAAUAAAACACHTuJAjj7RN98BAAB/AwAADgAA&#10;AAAAAAABACAAAAAhAQAAZHJzL2Uyb0RvYy54bWxQSwUGAAAAAAYABgBZAQAAcgUAAAAA&#10;">
                <v:fill on="f" focussize="0,0"/>
                <v:stroke weight="1.75pt" color="#FF0000" joinstyle="round"/>
                <v:imagedata o:title=""/>
                <o:lock v:ext="edit" aspectratio="f"/>
              </v:shape>
            </w:pict>
          </mc:Fallback>
        </mc:AlternateContent>
      </w:r>
      <w:r>
        <w:rPr>
          <w:rFonts w:hint="eastAsia" w:ascii="仿宋" w:hAnsi="仿宋" w:eastAsia="仿宋"/>
          <w:b/>
          <w:sz w:val="44"/>
          <w:szCs w:val="44"/>
        </w:rPr>
        <w:t>关于举办第二届四川省</w:t>
      </w:r>
    </w:p>
    <w:p>
      <w:pPr>
        <w:adjustRightInd w:val="0"/>
        <w:snapToGrid w:val="0"/>
        <w:spacing w:line="276" w:lineRule="auto"/>
        <w:jc w:val="center"/>
        <w:rPr>
          <w:rFonts w:ascii="仿宋" w:hAnsi="仿宋" w:eastAsia="仿宋"/>
          <w:b/>
          <w:sz w:val="44"/>
          <w:szCs w:val="44"/>
        </w:rPr>
      </w:pPr>
      <w:r>
        <w:rPr>
          <w:rFonts w:hint="eastAsia" w:ascii="仿宋" w:hAnsi="仿宋" w:eastAsia="仿宋"/>
          <w:b/>
          <w:sz w:val="44"/>
          <w:szCs w:val="44"/>
        </w:rPr>
        <w:t>物业管理行业职业技能竞赛的通知</w:t>
      </w:r>
    </w:p>
    <w:bookmarkEnd w:id="0"/>
    <w:p>
      <w:pPr>
        <w:adjustRightInd w:val="0"/>
        <w:snapToGrid w:val="0"/>
        <w:spacing w:line="276" w:lineRule="auto"/>
        <w:rPr>
          <w:rFonts w:hint="eastAsia" w:ascii="仿宋" w:hAnsi="仿宋" w:eastAsia="仿宋"/>
          <w:sz w:val="32"/>
          <w:szCs w:val="32"/>
        </w:rPr>
      </w:pPr>
    </w:p>
    <w:p>
      <w:pPr>
        <w:adjustRightInd w:val="0"/>
        <w:snapToGrid w:val="0"/>
        <w:spacing w:line="276" w:lineRule="auto"/>
        <w:rPr>
          <w:rFonts w:hint="eastAsia" w:ascii="仿宋" w:hAnsi="仿宋" w:eastAsia="仿宋"/>
          <w:sz w:val="32"/>
          <w:szCs w:val="32"/>
        </w:rPr>
      </w:pPr>
      <w:r>
        <w:rPr>
          <w:rFonts w:hint="eastAsia" w:ascii="仿宋" w:hAnsi="仿宋" w:eastAsia="仿宋"/>
          <w:sz w:val="32"/>
          <w:szCs w:val="32"/>
        </w:rPr>
        <w:t>各物业服务机构：</w:t>
      </w:r>
    </w:p>
    <w:p>
      <w:pPr>
        <w:pStyle w:val="4"/>
        <w:spacing w:before="0" w:beforeAutospacing="0" w:after="0" w:afterAutospacing="0" w:line="276" w:lineRule="auto"/>
        <w:ind w:firstLine="645"/>
        <w:rPr>
          <w:rFonts w:ascii="仿宋" w:hAnsi="仿宋" w:eastAsia="仿宋"/>
          <w:color w:val="000000"/>
          <w:sz w:val="32"/>
          <w:szCs w:val="32"/>
        </w:rPr>
      </w:pPr>
      <w:r>
        <w:rPr>
          <w:rFonts w:hint="eastAsia" w:ascii="仿宋" w:hAnsi="仿宋" w:eastAsia="仿宋"/>
          <w:color w:val="000000"/>
          <w:sz w:val="32"/>
          <w:szCs w:val="32"/>
        </w:rPr>
        <w:t>为认真贯彻落实习近平总书记在十九大报告中“要建设知识型、技能型、创新型劳动者大军，弘扬劳模精神和工匠精神，营造劳动光荣的社会风尚和精益求精的敬业风气”的重要讲话精神，提升行业基础服务技能，增强优质服务供给能力，展示物业管理从业人员的专业形象和精神风貌。按照四川省房地产业协会安排，四川省房地产业协会物业管理专业委员会、成都市物业管理协会，将于2018年3月-5月在成都联合承办第二届四川省物业管理行业职业技能竞赛，并在此基础上选拔和推荐优秀从业人员参加第二届全国物业管理行业职业技能竞赛。现将有关事项通知如下：</w:t>
      </w:r>
    </w:p>
    <w:p>
      <w:pPr>
        <w:pStyle w:val="4"/>
        <w:spacing w:before="0" w:beforeAutospacing="0" w:after="0" w:afterAutospacing="0" w:line="276" w:lineRule="auto"/>
        <w:ind w:firstLine="640" w:firstLineChars="200"/>
        <w:rPr>
          <w:rStyle w:val="6"/>
          <w:rFonts w:ascii="仿宋" w:hAnsi="仿宋" w:eastAsia="仿宋"/>
          <w:bCs w:val="0"/>
          <w:color w:val="000000"/>
          <w:sz w:val="32"/>
          <w:szCs w:val="32"/>
        </w:rPr>
      </w:pPr>
      <w:r>
        <w:rPr>
          <w:rStyle w:val="6"/>
          <w:rFonts w:hint="eastAsia" w:ascii="仿宋" w:hAnsi="仿宋" w:eastAsia="仿宋"/>
          <w:bCs w:val="0"/>
          <w:color w:val="000000"/>
          <w:sz w:val="32"/>
          <w:szCs w:val="32"/>
        </w:rPr>
        <w:t>一、组织机构</w:t>
      </w:r>
    </w:p>
    <w:p>
      <w:pPr>
        <w:pStyle w:val="4"/>
        <w:spacing w:before="0" w:beforeAutospacing="0" w:after="0" w:afterAutospacing="0" w:line="276" w:lineRule="auto"/>
        <w:ind w:firstLine="645"/>
        <w:rPr>
          <w:rFonts w:hint="eastAsia" w:ascii="仿宋" w:hAnsi="仿宋" w:eastAsia="仿宋"/>
          <w:color w:val="000000"/>
          <w:sz w:val="32"/>
          <w:szCs w:val="32"/>
        </w:rPr>
      </w:pPr>
      <w:r>
        <w:rPr>
          <w:rFonts w:hint="eastAsia" w:ascii="仿宋" w:hAnsi="仿宋" w:eastAsia="仿宋"/>
          <w:color w:val="000000"/>
          <w:sz w:val="32"/>
          <w:szCs w:val="32"/>
        </w:rPr>
        <w:t>由四川省房地产业协会物业管理专业委员会和成都市物业管理协会成立四川省物业管理行业职业技能竞赛组委会（以下简称“组委会”），负责此次竞赛的组织工作。</w:t>
      </w:r>
    </w:p>
    <w:p>
      <w:pPr>
        <w:snapToGrid w:val="0"/>
        <w:spacing w:line="276" w:lineRule="auto"/>
        <w:ind w:firstLine="640" w:firstLineChars="200"/>
        <w:rPr>
          <w:rFonts w:hint="eastAsia" w:ascii="仿宋" w:hAnsi="仿宋" w:eastAsia="仿宋" w:cs="宋体"/>
          <w:b/>
          <w:color w:val="000000"/>
          <w:sz w:val="32"/>
          <w:szCs w:val="32"/>
        </w:rPr>
      </w:pPr>
      <w:r>
        <w:rPr>
          <w:rFonts w:hint="eastAsia" w:ascii="仿宋" w:hAnsi="仿宋" w:eastAsia="仿宋" w:cs="宋体"/>
          <w:b/>
          <w:color w:val="000000"/>
          <w:sz w:val="32"/>
          <w:szCs w:val="32"/>
        </w:rPr>
        <w:t>二、竞赛项目和内容</w:t>
      </w:r>
    </w:p>
    <w:p>
      <w:pPr>
        <w:widowControl/>
        <w:shd w:val="clear" w:color="auto" w:fill="FFFFFF"/>
        <w:spacing w:line="276" w:lineRule="auto"/>
        <w:ind w:firstLine="48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（一）物业管理员职业技能竞赛</w:t>
      </w:r>
    </w:p>
    <w:p>
      <w:pPr>
        <w:widowControl/>
        <w:shd w:val="clear" w:color="auto" w:fill="FFFFFF"/>
        <w:spacing w:line="276" w:lineRule="auto"/>
        <w:ind w:firstLine="48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1.竞赛工种：物业管理员。</w:t>
      </w:r>
    </w:p>
    <w:p>
      <w:pPr>
        <w:widowControl/>
        <w:shd w:val="clear" w:color="auto" w:fill="FFFFFF"/>
        <w:spacing w:line="276" w:lineRule="auto"/>
        <w:ind w:firstLine="48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竞赛内容：理论知识考试内容主要包含物业管理基本制度与政策、物业管理实务、不同业态物业管理的技术技能和标准化相关内容。实际操作考核包括案例分析、实操知识抢答和个人主题演讲三种形式。理论知识和案例分析考核为闭卷考试,实操知识抢答和个人主题演讲考核为现场实地比赛。</w:t>
      </w:r>
    </w:p>
    <w:p>
      <w:pPr>
        <w:widowControl/>
        <w:shd w:val="clear" w:color="auto" w:fill="FFFFFF"/>
        <w:spacing w:line="276" w:lineRule="auto"/>
        <w:ind w:firstLine="48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（二）电工职业技能竞赛</w:t>
      </w:r>
    </w:p>
    <w:p>
      <w:pPr>
        <w:widowControl/>
        <w:shd w:val="clear" w:color="auto" w:fill="FFFFFF"/>
        <w:spacing w:line="276" w:lineRule="auto"/>
        <w:ind w:firstLine="48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1.竞赛工种：电工。</w:t>
      </w:r>
    </w:p>
    <w:p>
      <w:pPr>
        <w:widowControl/>
        <w:shd w:val="clear" w:color="auto" w:fill="FFFFFF"/>
        <w:spacing w:line="276" w:lineRule="auto"/>
        <w:ind w:firstLine="48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2.竞赛内容：理论知识考试内容主要包含物业设施设备管理、物业承接查验，以及物业管理过程中其他电工相关技术技能和专业标准相关内容。理论知识考核为闭卷考试,实际操作考核为现场实地比赛。</w:t>
      </w:r>
    </w:p>
    <w:p>
      <w:pPr>
        <w:widowControl/>
        <w:shd w:val="clear" w:color="auto" w:fill="FFFFFF"/>
        <w:spacing w:line="276" w:lineRule="auto"/>
        <w:ind w:firstLine="48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竞赛命题：以国家相关职业标准为依据，结合物业管理行业新的发展变化和工作实际，由组委会统一组织命题。理论知识和实际操作考核两项成绩均按百分制，合并计算总成绩，其中理论知识成绩占30%，实际操作成绩占70%。</w:t>
      </w:r>
    </w:p>
    <w:p>
      <w:pPr>
        <w:widowControl/>
        <w:shd w:val="clear" w:color="auto" w:fill="FFFFFF"/>
        <w:spacing w:line="276" w:lineRule="auto"/>
        <w:ind w:firstLine="640" w:firstLineChars="200"/>
        <w:jc w:val="left"/>
        <w:rPr>
          <w:rStyle w:val="6"/>
          <w:rFonts w:ascii="仿宋" w:hAnsi="仿宋" w:eastAsia="仿宋" w:cs="宋体"/>
          <w:bCs w:val="0"/>
          <w:color w:val="000000"/>
          <w:kern w:val="0"/>
          <w:sz w:val="32"/>
          <w:szCs w:val="32"/>
        </w:rPr>
      </w:pPr>
      <w:r>
        <w:rPr>
          <w:rStyle w:val="6"/>
          <w:rFonts w:hint="eastAsia" w:ascii="仿宋" w:hAnsi="仿宋" w:eastAsia="仿宋"/>
          <w:color w:val="000000"/>
          <w:sz w:val="32"/>
          <w:szCs w:val="32"/>
        </w:rPr>
        <w:t>三、报名条件和办法</w:t>
      </w:r>
    </w:p>
    <w:p>
      <w:pPr>
        <w:widowControl/>
        <w:shd w:val="clear" w:color="auto" w:fill="FFFFFF"/>
        <w:spacing w:line="276"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（一）参赛对象条件和要求</w:t>
      </w:r>
    </w:p>
    <w:p>
      <w:pPr>
        <w:widowControl/>
        <w:shd w:val="clear" w:color="auto" w:fill="FFFFFF"/>
        <w:spacing w:line="276"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1.报名物业管理员竞赛，应同时满足以下三个条件：与物业服务企业签订劳动合同；在物业管理项目担任项目经理或拟任项目负责人；从业年限3年以上。</w:t>
      </w:r>
    </w:p>
    <w:p>
      <w:pPr>
        <w:widowControl/>
        <w:shd w:val="clear" w:color="auto" w:fill="FFFFFF"/>
        <w:spacing w:line="276"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2.报名电工竞赛，应同时满足以下两个条件：与物业服务企业签订劳动合同，具有“低压电工维修证”或相关证书。</w:t>
      </w:r>
    </w:p>
    <w:p>
      <w:pPr>
        <w:widowControl/>
        <w:shd w:val="clear" w:color="auto" w:fill="FFFFFF"/>
        <w:spacing w:line="276"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3.已获得“全国技术能手”和“全国住房城乡建设行业技术能手”荣誉称号的选手，不再参加同一工种竞赛。</w:t>
      </w:r>
    </w:p>
    <w:p>
      <w:pPr>
        <w:widowControl/>
        <w:shd w:val="clear" w:color="auto" w:fill="FFFFFF"/>
        <w:spacing w:line="276"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（二）参赛选手名额</w:t>
      </w:r>
    </w:p>
    <w:p>
      <w:pPr>
        <w:widowControl/>
        <w:shd w:val="clear" w:color="auto" w:fill="FFFFFF"/>
        <w:spacing w:line="276"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各物业服务企业每个工种各有 3 个选手名额，分别为物业管理员3名、电工3名。参赛选手由所在企业向组委会统一报名参赛，如在四川范围内有分公司的企业，统一由四川总公司组织报名。</w:t>
      </w:r>
    </w:p>
    <w:p>
      <w:pPr>
        <w:widowControl/>
        <w:shd w:val="clear" w:color="auto" w:fill="FFFFFF"/>
        <w:spacing w:line="276"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（三）报名办法</w:t>
      </w:r>
    </w:p>
    <w:p>
      <w:pPr>
        <w:widowControl/>
        <w:shd w:val="clear" w:color="auto" w:fill="FFFFFF"/>
        <w:spacing w:line="276"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各物业服务企业确定参赛选手后，请下载《第二届四川省物业管理行业职业技能竞赛报名信息登记表》（见附件1），按照相关要求如实填写报名信息，并连同参赛选手的资格预审材料的扫描件（或图片），于2018年4月10日前，</w:t>
      </w:r>
      <w:r>
        <w:rPr>
          <w:rFonts w:ascii="仿宋" w:hAnsi="仿宋" w:eastAsia="仿宋" w:cs="宋体"/>
          <w:color w:val="000000"/>
          <w:kern w:val="0"/>
          <w:sz w:val="32"/>
          <w:szCs w:val="32"/>
        </w:rPr>
        <w:fldChar w:fldCharType="begin"/>
      </w:r>
      <w:r>
        <w:rPr>
          <w:rFonts w:ascii="仿宋" w:hAnsi="仿宋" w:eastAsia="仿宋" w:cs="宋体"/>
          <w:color w:val="000000"/>
          <w:kern w:val="0"/>
          <w:sz w:val="32"/>
          <w:szCs w:val="32"/>
        </w:rPr>
        <w:instrText xml:space="preserve"> HYPERLINK "mailto:</w:instrText>
      </w:r>
      <w:r>
        <w:rPr>
          <w:rFonts w:hint="eastAsia" w:ascii="仿宋" w:hAnsi="仿宋" w:eastAsia="仿宋" w:cs="宋体"/>
          <w:color w:val="000000"/>
          <w:kern w:val="0"/>
          <w:sz w:val="32"/>
          <w:szCs w:val="32"/>
        </w:rPr>
        <w:instrText xml:space="preserve">发送至组委会指定邮箱41268896@qq.com</w:instrText>
      </w:r>
      <w:r>
        <w:rPr>
          <w:rFonts w:ascii="仿宋" w:hAnsi="仿宋" w:eastAsia="仿宋" w:cs="宋体"/>
          <w:color w:val="000000"/>
          <w:kern w:val="0"/>
          <w:sz w:val="32"/>
          <w:szCs w:val="32"/>
        </w:rPr>
        <w:instrText xml:space="preserve">" </w:instrText>
      </w:r>
      <w:r>
        <w:rPr>
          <w:rFonts w:ascii="仿宋" w:hAnsi="仿宋" w:eastAsia="仿宋" w:cs="宋体"/>
          <w:color w:val="000000"/>
          <w:kern w:val="0"/>
          <w:sz w:val="32"/>
          <w:szCs w:val="32"/>
        </w:rPr>
        <w:fldChar w:fldCharType="separate"/>
      </w:r>
      <w:r>
        <w:rPr>
          <w:rFonts w:hint="eastAsia" w:ascii="仿宋" w:hAnsi="仿宋" w:eastAsia="仿宋" w:cs="宋体"/>
          <w:color w:val="000000"/>
          <w:kern w:val="0"/>
          <w:sz w:val="32"/>
          <w:szCs w:val="32"/>
        </w:rPr>
        <w:t>发送至组委会指定邮箱41268896@qq.com</w:t>
      </w:r>
      <w:r>
        <w:rPr>
          <w:rFonts w:ascii="仿宋" w:hAnsi="仿宋" w:eastAsia="仿宋" w:cs="宋体"/>
          <w:color w:val="000000"/>
          <w:kern w:val="0"/>
          <w:sz w:val="32"/>
          <w:szCs w:val="32"/>
        </w:rPr>
        <w:fldChar w:fldCharType="end"/>
      </w:r>
      <w:r>
        <w:rPr>
          <w:rFonts w:hint="eastAsia" w:ascii="仿宋" w:hAnsi="仿宋" w:eastAsia="仿宋" w:cs="宋体"/>
          <w:color w:val="000000"/>
          <w:kern w:val="0"/>
          <w:sz w:val="32"/>
          <w:szCs w:val="32"/>
        </w:rPr>
        <w:t>。</w:t>
      </w:r>
    </w:p>
    <w:p>
      <w:pPr>
        <w:widowControl/>
        <w:shd w:val="clear" w:color="auto" w:fill="FFFFFF"/>
        <w:spacing w:line="276" w:lineRule="auto"/>
        <w:ind w:firstLine="640" w:firstLineChars="200"/>
        <w:jc w:val="left"/>
        <w:rPr>
          <w:rFonts w:ascii="仿宋" w:hAnsi="仿宋" w:eastAsia="仿宋" w:cs="宋体"/>
          <w:color w:val="000000"/>
          <w:kern w:val="0"/>
          <w:sz w:val="32"/>
          <w:szCs w:val="32"/>
        </w:rPr>
      </w:pPr>
      <w:r>
        <w:rPr>
          <w:rFonts w:hint="eastAsia" w:ascii="仿宋" w:hAnsi="仿宋" w:eastAsia="仿宋" w:cs="方正仿宋简体"/>
          <w:color w:val="000000"/>
          <w:sz w:val="32"/>
          <w:szCs w:val="32"/>
        </w:rPr>
        <w:t>资格预审材料包括：</w:t>
      </w:r>
    </w:p>
    <w:p>
      <w:pPr>
        <w:widowControl/>
        <w:shd w:val="clear" w:color="auto" w:fill="FFFFFF"/>
        <w:spacing w:line="276"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w:t>
      </w:r>
      <w:r>
        <w:rPr>
          <w:rFonts w:hint="eastAsia" w:ascii="仿宋" w:hAnsi="仿宋" w:eastAsia="仿宋" w:cs="方正仿宋简体"/>
          <w:color w:val="000000"/>
          <w:sz w:val="32"/>
          <w:szCs w:val="32"/>
        </w:rPr>
        <w:t>参赛选手</w:t>
      </w:r>
      <w:r>
        <w:rPr>
          <w:rFonts w:hint="eastAsia" w:ascii="仿宋" w:hAnsi="仿宋" w:eastAsia="仿宋" w:cs="宋体"/>
          <w:bCs/>
          <w:color w:val="000000"/>
          <w:sz w:val="32"/>
          <w:szCs w:val="32"/>
        </w:rPr>
        <w:t>身份证（正反面）复印件</w:t>
      </w:r>
      <w:r>
        <w:rPr>
          <w:rFonts w:hint="eastAsia" w:ascii="仿宋" w:hAnsi="仿宋" w:eastAsia="仿宋" w:cs="方正仿宋简体"/>
          <w:color w:val="000000"/>
          <w:sz w:val="32"/>
          <w:szCs w:val="32"/>
        </w:rPr>
        <w:t>；</w:t>
      </w:r>
    </w:p>
    <w:p>
      <w:pPr>
        <w:widowControl/>
        <w:shd w:val="clear" w:color="auto" w:fill="FFFFFF"/>
        <w:spacing w:line="276"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w:t>
      </w:r>
      <w:r>
        <w:rPr>
          <w:rFonts w:hint="eastAsia" w:ascii="仿宋" w:hAnsi="仿宋" w:eastAsia="仿宋" w:cs="方正仿宋简体"/>
          <w:color w:val="000000"/>
          <w:sz w:val="32"/>
          <w:szCs w:val="32"/>
        </w:rPr>
        <w:t>参赛选手</w:t>
      </w:r>
      <w:r>
        <w:rPr>
          <w:rFonts w:hint="eastAsia" w:ascii="仿宋" w:hAnsi="仿宋" w:eastAsia="仿宋" w:cs="宋体"/>
          <w:bCs/>
          <w:color w:val="000000"/>
          <w:sz w:val="32"/>
          <w:szCs w:val="32"/>
        </w:rPr>
        <w:t>劳动合同复印件、社保缴存证明</w:t>
      </w:r>
      <w:r>
        <w:rPr>
          <w:rFonts w:hint="eastAsia" w:ascii="仿宋" w:hAnsi="仿宋" w:eastAsia="仿宋" w:cs="方正仿宋简体"/>
          <w:color w:val="000000"/>
          <w:sz w:val="32"/>
          <w:szCs w:val="32"/>
        </w:rPr>
        <w:t>；</w:t>
      </w:r>
    </w:p>
    <w:p>
      <w:pPr>
        <w:widowControl/>
        <w:shd w:val="clear" w:color="auto" w:fill="FFFFFF"/>
        <w:spacing w:line="276"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w:t>
      </w:r>
      <w:r>
        <w:rPr>
          <w:rFonts w:hint="eastAsia" w:ascii="仿宋" w:hAnsi="仿宋" w:eastAsia="仿宋" w:cs="方正仿宋简体"/>
          <w:color w:val="000000"/>
          <w:sz w:val="32"/>
          <w:szCs w:val="32"/>
        </w:rPr>
        <w:t>参赛选手</w:t>
      </w:r>
      <w:r>
        <w:rPr>
          <w:rFonts w:hint="eastAsia" w:ascii="仿宋" w:hAnsi="仿宋" w:eastAsia="仿宋" w:cs="宋体"/>
          <w:bCs/>
          <w:color w:val="000000"/>
          <w:sz w:val="32"/>
          <w:szCs w:val="32"/>
        </w:rPr>
        <w:t>相关资格证书复印件</w:t>
      </w:r>
      <w:r>
        <w:rPr>
          <w:rFonts w:hint="eastAsia" w:ascii="仿宋" w:hAnsi="仿宋" w:eastAsia="仿宋" w:cs="方正仿宋简体"/>
          <w:color w:val="000000"/>
          <w:sz w:val="32"/>
          <w:szCs w:val="32"/>
        </w:rPr>
        <w:t>；</w:t>
      </w:r>
    </w:p>
    <w:p>
      <w:pPr>
        <w:widowControl/>
        <w:shd w:val="clear" w:color="auto" w:fill="FFFFFF"/>
        <w:spacing w:line="276"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4.</w:t>
      </w:r>
      <w:r>
        <w:rPr>
          <w:rFonts w:hint="eastAsia" w:ascii="仿宋" w:hAnsi="仿宋" w:eastAsia="仿宋" w:cs="方正仿宋简体"/>
          <w:color w:val="000000"/>
          <w:sz w:val="32"/>
          <w:szCs w:val="32"/>
        </w:rPr>
        <w:t>参赛选手1寸近期证件照一张（电子版）；</w:t>
      </w:r>
    </w:p>
    <w:p>
      <w:pPr>
        <w:widowControl/>
        <w:shd w:val="clear" w:color="auto" w:fill="FFFFFF"/>
        <w:spacing w:line="276"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5.</w:t>
      </w:r>
      <w:r>
        <w:rPr>
          <w:rFonts w:hint="eastAsia" w:ascii="仿宋" w:hAnsi="仿宋" w:eastAsia="仿宋" w:cs="方正仿宋简体"/>
          <w:color w:val="000000"/>
          <w:sz w:val="32"/>
          <w:szCs w:val="32"/>
        </w:rPr>
        <w:t>其他相关证明材料。</w:t>
      </w:r>
    </w:p>
    <w:p>
      <w:pPr>
        <w:widowControl/>
        <w:shd w:val="clear" w:color="auto" w:fill="FFFFFF"/>
        <w:spacing w:line="276" w:lineRule="auto"/>
        <w:ind w:firstLine="640" w:firstLineChars="200"/>
        <w:jc w:val="left"/>
        <w:rPr>
          <w:rFonts w:ascii="仿宋" w:hAnsi="仿宋" w:eastAsia="仿宋" w:cs="宋体"/>
          <w:color w:val="000000"/>
          <w:kern w:val="0"/>
          <w:sz w:val="32"/>
          <w:szCs w:val="32"/>
        </w:rPr>
      </w:pPr>
      <w:r>
        <w:rPr>
          <w:rFonts w:hint="eastAsia" w:ascii="仿宋" w:hAnsi="仿宋" w:eastAsia="仿宋" w:cs="宋体"/>
          <w:bCs/>
          <w:color w:val="000000"/>
          <w:sz w:val="32"/>
          <w:szCs w:val="32"/>
        </w:rPr>
        <w:t>《第二届四川省物业管理行业职业技能竞赛报名信息登记表》（见附件1）</w:t>
      </w:r>
      <w:r>
        <w:rPr>
          <w:rFonts w:hint="eastAsia" w:ascii="仿宋" w:hAnsi="仿宋" w:eastAsia="仿宋" w:cs="方正仿宋简体"/>
          <w:color w:val="000000"/>
          <w:sz w:val="32"/>
          <w:szCs w:val="32"/>
        </w:rPr>
        <w:t>和相关证明材料需加盖企业公章。</w:t>
      </w:r>
    </w:p>
    <w:p>
      <w:pPr>
        <w:widowControl/>
        <w:shd w:val="clear" w:color="auto" w:fill="FFFFFF"/>
        <w:spacing w:line="276"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（四）费用说明</w:t>
      </w:r>
    </w:p>
    <w:p>
      <w:pPr>
        <w:widowControl/>
        <w:shd w:val="clear" w:color="auto" w:fill="FFFFFF"/>
        <w:spacing w:line="276" w:lineRule="auto"/>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本次竞赛不收取参赛费用。参赛选手住宿、用餐和交通费用自理。</w:t>
      </w:r>
    </w:p>
    <w:p>
      <w:pPr>
        <w:widowControl/>
        <w:shd w:val="clear" w:color="auto" w:fill="FFFFFF"/>
        <w:spacing w:line="276" w:lineRule="auto"/>
        <w:ind w:firstLine="640" w:firstLineChars="200"/>
        <w:jc w:val="left"/>
        <w:rPr>
          <w:rFonts w:ascii="仿宋" w:hAnsi="仿宋" w:eastAsia="仿宋" w:cs="宋体"/>
          <w:color w:val="000000"/>
          <w:kern w:val="0"/>
          <w:sz w:val="32"/>
          <w:szCs w:val="32"/>
        </w:rPr>
      </w:pPr>
      <w:r>
        <w:rPr>
          <w:rStyle w:val="6"/>
          <w:rFonts w:hint="eastAsia" w:ascii="仿宋" w:hAnsi="仿宋" w:eastAsia="仿宋"/>
          <w:color w:val="000000"/>
          <w:sz w:val="32"/>
          <w:szCs w:val="32"/>
        </w:rPr>
        <w:t>四、竞赛时间安排</w:t>
      </w:r>
    </w:p>
    <w:p>
      <w:pPr>
        <w:widowControl/>
        <w:shd w:val="clear" w:color="auto" w:fill="FFFFFF"/>
        <w:spacing w:line="276" w:lineRule="auto"/>
        <w:ind w:firstLine="640" w:firstLineChars="200"/>
        <w:jc w:val="left"/>
        <w:rPr>
          <w:rFonts w:ascii="仿宋" w:hAnsi="仿宋" w:eastAsia="仿宋" w:cs="宋体"/>
          <w:color w:val="000000"/>
          <w:kern w:val="0"/>
          <w:sz w:val="32"/>
          <w:szCs w:val="32"/>
        </w:rPr>
      </w:pPr>
      <w:r>
        <w:rPr>
          <w:rFonts w:hint="eastAsia" w:ascii="仿宋" w:hAnsi="仿宋" w:eastAsia="仿宋"/>
          <w:color w:val="000000"/>
          <w:sz w:val="32"/>
          <w:szCs w:val="32"/>
        </w:rPr>
        <w:t>（一）4月10日前，报名阶段，各参赛企业可进行内部选拔，推荐优胜者报名参加全省竞赛；</w:t>
      </w:r>
    </w:p>
    <w:p>
      <w:pPr>
        <w:widowControl/>
        <w:shd w:val="clear" w:color="auto" w:fill="FFFFFF"/>
        <w:spacing w:line="276" w:lineRule="auto"/>
        <w:ind w:firstLine="640" w:firstLineChars="200"/>
        <w:jc w:val="left"/>
        <w:rPr>
          <w:rFonts w:ascii="仿宋" w:hAnsi="仿宋" w:eastAsia="仿宋" w:cs="宋体"/>
          <w:color w:val="000000"/>
          <w:kern w:val="0"/>
          <w:sz w:val="32"/>
          <w:szCs w:val="32"/>
        </w:rPr>
      </w:pPr>
      <w:r>
        <w:rPr>
          <w:rFonts w:hint="eastAsia" w:ascii="仿宋" w:hAnsi="仿宋" w:eastAsia="仿宋"/>
          <w:color w:val="000000"/>
          <w:sz w:val="32"/>
          <w:szCs w:val="32"/>
        </w:rPr>
        <w:t>（二）4月10日-16日，组委会对各企业参赛选手进行资格审核；</w:t>
      </w:r>
    </w:p>
    <w:p>
      <w:pPr>
        <w:widowControl/>
        <w:shd w:val="clear" w:color="auto" w:fill="FFFFFF"/>
        <w:spacing w:line="276" w:lineRule="auto"/>
        <w:ind w:firstLine="640" w:firstLineChars="200"/>
        <w:jc w:val="left"/>
        <w:rPr>
          <w:rFonts w:ascii="仿宋" w:hAnsi="仿宋" w:eastAsia="仿宋" w:cs="宋体"/>
          <w:color w:val="000000"/>
          <w:kern w:val="0"/>
          <w:sz w:val="32"/>
          <w:szCs w:val="32"/>
        </w:rPr>
      </w:pPr>
      <w:r>
        <w:rPr>
          <w:rFonts w:hint="eastAsia" w:ascii="仿宋" w:hAnsi="仿宋" w:eastAsia="仿宋"/>
          <w:color w:val="000000"/>
          <w:sz w:val="32"/>
          <w:szCs w:val="32"/>
        </w:rPr>
        <w:t>（三）4月17日，公布通过资格审核人员名单；</w:t>
      </w:r>
    </w:p>
    <w:p>
      <w:pPr>
        <w:widowControl/>
        <w:shd w:val="clear" w:color="auto" w:fill="FFFFFF"/>
        <w:spacing w:line="276" w:lineRule="auto"/>
        <w:ind w:firstLine="640" w:firstLineChars="200"/>
        <w:jc w:val="left"/>
        <w:rPr>
          <w:rFonts w:ascii="仿宋" w:hAnsi="仿宋" w:eastAsia="仿宋" w:cs="宋体"/>
          <w:color w:val="000000"/>
          <w:kern w:val="0"/>
          <w:sz w:val="32"/>
          <w:szCs w:val="32"/>
        </w:rPr>
      </w:pPr>
      <w:r>
        <w:rPr>
          <w:rFonts w:hint="eastAsia" w:ascii="仿宋" w:hAnsi="仿宋" w:eastAsia="仿宋"/>
          <w:color w:val="000000"/>
          <w:sz w:val="32"/>
          <w:szCs w:val="32"/>
        </w:rPr>
        <w:t>（四）4月18日-5月31日，组织竞赛实施；</w:t>
      </w:r>
    </w:p>
    <w:p>
      <w:pPr>
        <w:widowControl/>
        <w:shd w:val="clear" w:color="auto" w:fill="FFFFFF"/>
        <w:spacing w:line="276" w:lineRule="auto"/>
        <w:ind w:firstLine="640" w:firstLineChars="200"/>
        <w:jc w:val="left"/>
        <w:rPr>
          <w:rFonts w:ascii="仿宋" w:hAnsi="仿宋" w:eastAsia="仿宋" w:cs="宋体"/>
          <w:color w:val="000000"/>
          <w:kern w:val="0"/>
          <w:sz w:val="32"/>
          <w:szCs w:val="32"/>
        </w:rPr>
      </w:pPr>
      <w:r>
        <w:rPr>
          <w:rFonts w:hint="eastAsia" w:ascii="仿宋" w:hAnsi="仿宋" w:eastAsia="仿宋"/>
          <w:color w:val="000000"/>
          <w:sz w:val="32"/>
          <w:szCs w:val="32"/>
        </w:rPr>
        <w:t>（五）6月15日前，向全国竞赛组委会提交决赛参赛选手名单和赛区情况汇总表等材料；</w:t>
      </w:r>
    </w:p>
    <w:p>
      <w:pPr>
        <w:widowControl/>
        <w:shd w:val="clear" w:color="auto" w:fill="FFFFFF"/>
        <w:spacing w:line="276"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（六）7月中旬，根据全国竞赛决赛通知，准备参加全国竞赛；</w:t>
      </w:r>
    </w:p>
    <w:p>
      <w:pPr>
        <w:widowControl/>
        <w:shd w:val="clear" w:color="auto" w:fill="FFFFFF"/>
        <w:spacing w:line="276" w:lineRule="auto"/>
        <w:ind w:firstLine="640" w:firstLineChars="200"/>
        <w:jc w:val="left"/>
        <w:rPr>
          <w:rFonts w:ascii="仿宋" w:hAnsi="仿宋" w:eastAsia="仿宋" w:cs="宋体"/>
          <w:color w:val="000000"/>
          <w:kern w:val="0"/>
          <w:sz w:val="32"/>
          <w:szCs w:val="32"/>
        </w:rPr>
      </w:pPr>
      <w:r>
        <w:rPr>
          <w:rFonts w:hint="eastAsia" w:ascii="仿宋" w:hAnsi="仿宋" w:eastAsia="仿宋"/>
          <w:color w:val="000000"/>
          <w:sz w:val="32"/>
          <w:szCs w:val="32"/>
        </w:rPr>
        <w:t>（七）8月中旬，赴北京参加全国竞赛决赛。</w:t>
      </w:r>
    </w:p>
    <w:p>
      <w:pPr>
        <w:widowControl/>
        <w:shd w:val="clear" w:color="auto" w:fill="FFFFFF"/>
        <w:spacing w:line="276" w:lineRule="auto"/>
        <w:ind w:firstLine="640" w:firstLineChars="200"/>
        <w:jc w:val="left"/>
        <w:rPr>
          <w:rFonts w:ascii="仿宋" w:hAnsi="仿宋" w:eastAsia="仿宋" w:cs="宋体"/>
          <w:color w:val="000000"/>
          <w:kern w:val="0"/>
          <w:sz w:val="32"/>
          <w:szCs w:val="32"/>
        </w:rPr>
      </w:pPr>
      <w:r>
        <w:rPr>
          <w:rFonts w:hint="eastAsia" w:ascii="仿宋" w:hAnsi="仿宋" w:eastAsia="仿宋" w:cs="宋体"/>
          <w:bCs/>
          <w:color w:val="000000"/>
          <w:sz w:val="32"/>
          <w:szCs w:val="32"/>
        </w:rPr>
        <w:t>竞赛具体时间及场地另行通知。</w:t>
      </w:r>
    </w:p>
    <w:p>
      <w:pPr>
        <w:widowControl/>
        <w:shd w:val="clear" w:color="auto" w:fill="FFFFFF"/>
        <w:spacing w:line="276" w:lineRule="auto"/>
        <w:ind w:firstLine="640" w:firstLineChars="200"/>
        <w:jc w:val="left"/>
        <w:rPr>
          <w:rStyle w:val="6"/>
          <w:rFonts w:ascii="仿宋" w:hAnsi="仿宋" w:eastAsia="仿宋" w:cs="宋体"/>
          <w:bCs w:val="0"/>
          <w:color w:val="000000"/>
          <w:kern w:val="0"/>
          <w:sz w:val="32"/>
          <w:szCs w:val="32"/>
        </w:rPr>
      </w:pPr>
      <w:r>
        <w:rPr>
          <w:rStyle w:val="6"/>
          <w:rFonts w:hint="eastAsia" w:ascii="仿宋" w:hAnsi="仿宋" w:eastAsia="仿宋"/>
          <w:color w:val="000000"/>
          <w:sz w:val="32"/>
          <w:szCs w:val="32"/>
        </w:rPr>
        <w:t>五、表彰奖励</w:t>
      </w:r>
    </w:p>
    <w:p>
      <w:pPr>
        <w:widowControl/>
        <w:shd w:val="clear" w:color="auto" w:fill="FFFFFF"/>
        <w:spacing w:line="276" w:lineRule="auto"/>
        <w:ind w:firstLine="640" w:firstLineChars="200"/>
        <w:jc w:val="left"/>
        <w:rPr>
          <w:rFonts w:ascii="仿宋" w:hAnsi="仿宋" w:eastAsia="仿宋" w:cs="宋体"/>
          <w:color w:val="000000"/>
          <w:kern w:val="0"/>
          <w:sz w:val="32"/>
          <w:szCs w:val="32"/>
        </w:rPr>
      </w:pPr>
      <w:r>
        <w:rPr>
          <w:rFonts w:hint="eastAsia" w:ascii="仿宋" w:hAnsi="仿宋" w:eastAsia="仿宋"/>
          <w:color w:val="000000"/>
          <w:sz w:val="32"/>
          <w:szCs w:val="32"/>
        </w:rPr>
        <w:t>（一）个人奖项：将分别从物业管理员、电工这两类竞赛工种中，评选出一、二、三等奖和优秀奖。其中一等奖一名、二等奖两名、三等奖三名、优秀奖若干。</w:t>
      </w:r>
    </w:p>
    <w:p>
      <w:pPr>
        <w:widowControl/>
        <w:shd w:val="clear" w:color="auto" w:fill="FFFFFF"/>
        <w:spacing w:line="276" w:lineRule="auto"/>
        <w:ind w:firstLine="640" w:firstLineChars="200"/>
        <w:jc w:val="left"/>
        <w:rPr>
          <w:rFonts w:ascii="仿宋" w:hAnsi="仿宋" w:eastAsia="仿宋" w:cs="宋体"/>
          <w:color w:val="000000"/>
          <w:kern w:val="0"/>
          <w:sz w:val="32"/>
          <w:szCs w:val="32"/>
        </w:rPr>
      </w:pPr>
      <w:r>
        <w:rPr>
          <w:rFonts w:hint="eastAsia" w:ascii="仿宋" w:hAnsi="仿宋" w:eastAsia="仿宋"/>
          <w:color w:val="000000"/>
          <w:sz w:val="32"/>
          <w:szCs w:val="32"/>
        </w:rPr>
        <w:t>各工种前三名参赛者，将直接代表四川省参加2018年8月在北京举行的全国物业管理行业职业技能竞赛。</w:t>
      </w:r>
    </w:p>
    <w:p>
      <w:pPr>
        <w:widowControl/>
        <w:shd w:val="clear" w:color="auto" w:fill="FFFFFF"/>
        <w:spacing w:line="276" w:lineRule="auto"/>
        <w:ind w:firstLine="640" w:firstLineChars="200"/>
        <w:jc w:val="left"/>
        <w:rPr>
          <w:rFonts w:ascii="仿宋" w:hAnsi="仿宋" w:eastAsia="仿宋" w:cs="宋体"/>
          <w:color w:val="000000"/>
          <w:kern w:val="0"/>
          <w:sz w:val="32"/>
          <w:szCs w:val="32"/>
        </w:rPr>
      </w:pPr>
      <w:r>
        <w:rPr>
          <w:rFonts w:hint="eastAsia" w:ascii="仿宋" w:hAnsi="仿宋" w:eastAsia="仿宋"/>
          <w:color w:val="000000"/>
          <w:sz w:val="32"/>
          <w:szCs w:val="32"/>
        </w:rPr>
        <w:t>（二）企业奖项：对组织到位、成绩突出的物业服务企业，将颁发“优秀组织奖”荣誉证书。</w:t>
      </w:r>
    </w:p>
    <w:p>
      <w:pPr>
        <w:widowControl/>
        <w:shd w:val="clear" w:color="auto" w:fill="FFFFFF"/>
        <w:spacing w:line="276" w:lineRule="auto"/>
        <w:ind w:firstLine="640" w:firstLineChars="200"/>
        <w:jc w:val="left"/>
        <w:rPr>
          <w:rStyle w:val="6"/>
          <w:rFonts w:ascii="仿宋" w:hAnsi="仿宋" w:eastAsia="仿宋" w:cs="宋体"/>
          <w:bCs w:val="0"/>
          <w:color w:val="000000"/>
          <w:kern w:val="0"/>
          <w:sz w:val="32"/>
          <w:szCs w:val="32"/>
        </w:rPr>
      </w:pPr>
      <w:r>
        <w:rPr>
          <w:rStyle w:val="6"/>
          <w:rFonts w:hint="eastAsia" w:ascii="仿宋" w:hAnsi="仿宋" w:eastAsia="仿宋"/>
          <w:color w:val="000000"/>
          <w:sz w:val="32"/>
          <w:szCs w:val="32"/>
        </w:rPr>
        <w:t>六、实施要求</w:t>
      </w:r>
    </w:p>
    <w:p>
      <w:pPr>
        <w:widowControl/>
        <w:shd w:val="clear" w:color="auto" w:fill="FFFFFF"/>
        <w:spacing w:line="276" w:lineRule="auto"/>
        <w:ind w:firstLine="640" w:firstLineChars="200"/>
        <w:jc w:val="left"/>
        <w:rPr>
          <w:rFonts w:ascii="仿宋" w:hAnsi="仿宋" w:eastAsia="仿宋" w:cs="宋体"/>
          <w:color w:val="000000"/>
          <w:kern w:val="0"/>
          <w:sz w:val="32"/>
          <w:szCs w:val="32"/>
        </w:rPr>
      </w:pPr>
      <w:r>
        <w:rPr>
          <w:rFonts w:hint="eastAsia" w:ascii="仿宋" w:hAnsi="仿宋" w:eastAsia="仿宋" w:cs="宋体"/>
          <w:bCs/>
          <w:color w:val="000000"/>
          <w:sz w:val="32"/>
          <w:szCs w:val="32"/>
        </w:rPr>
        <w:t>（一）高度重视，积极参与。各物业服务机构要切实做好宣传动员工作，积极开展内部培训与考试，为本次四川省物业管理行业职业技能竞赛及全国技能竞赛输送人才。</w:t>
      </w:r>
    </w:p>
    <w:p>
      <w:pPr>
        <w:widowControl/>
        <w:shd w:val="clear" w:color="auto" w:fill="FFFFFF"/>
        <w:spacing w:line="276" w:lineRule="auto"/>
        <w:ind w:firstLine="640" w:firstLineChars="200"/>
        <w:jc w:val="left"/>
        <w:rPr>
          <w:rFonts w:ascii="仿宋" w:hAnsi="仿宋" w:eastAsia="仿宋" w:cs="宋体"/>
          <w:color w:val="000000"/>
          <w:kern w:val="0"/>
          <w:sz w:val="32"/>
          <w:szCs w:val="32"/>
        </w:rPr>
      </w:pPr>
      <w:r>
        <w:rPr>
          <w:rFonts w:hint="eastAsia" w:ascii="仿宋" w:hAnsi="仿宋" w:eastAsia="仿宋" w:cs="宋体"/>
          <w:bCs/>
          <w:color w:val="000000"/>
          <w:sz w:val="32"/>
          <w:szCs w:val="32"/>
        </w:rPr>
        <w:t>（二）借势宣传，营造氛围。各物业服务机构要充</w:t>
      </w:r>
      <w:r>
        <w:rPr>
          <w:rFonts w:hint="eastAsia" w:ascii="仿宋" w:hAnsi="仿宋" w:eastAsia="仿宋" w:cs="宋体"/>
          <w:bCs/>
          <w:sz w:val="32"/>
          <w:szCs w:val="32"/>
        </w:rPr>
        <w:t>分利用网络、小区公示栏等自媒体，开展形式多样、特色鲜明的宣传活动，大力宣传国家重视技能人才，加强高技能人才培养和选拔工作的方针政策，宣传职业技能竞赛在高技能人才培养、选拔的重要作用，宣传优秀技能人才攻坚克难、立足本企业和本岗位做贡献的先进事迹，营造良好氛围。</w:t>
      </w:r>
    </w:p>
    <w:p>
      <w:pPr>
        <w:widowControl/>
        <w:shd w:val="clear" w:color="auto" w:fill="FFFFFF"/>
        <w:spacing w:line="276" w:lineRule="auto"/>
        <w:ind w:firstLine="640" w:firstLineChars="200"/>
        <w:jc w:val="left"/>
        <w:rPr>
          <w:rStyle w:val="6"/>
          <w:rFonts w:ascii="仿宋" w:hAnsi="仿宋" w:eastAsia="仿宋"/>
          <w:b w:val="0"/>
          <w:sz w:val="32"/>
          <w:szCs w:val="32"/>
        </w:rPr>
      </w:pPr>
      <w:r>
        <w:rPr>
          <w:rStyle w:val="6"/>
          <w:rFonts w:hint="eastAsia" w:ascii="仿宋" w:hAnsi="仿宋" w:eastAsia="仿宋"/>
          <w:b w:val="0"/>
          <w:sz w:val="32"/>
          <w:szCs w:val="32"/>
        </w:rPr>
        <w:t>七、组委会联系方式</w:t>
      </w:r>
    </w:p>
    <w:p>
      <w:pPr>
        <w:widowControl/>
        <w:shd w:val="clear" w:color="auto" w:fill="FFFFFF"/>
        <w:spacing w:line="276" w:lineRule="auto"/>
        <w:ind w:firstLine="640" w:firstLineChars="200"/>
        <w:jc w:val="left"/>
        <w:rPr>
          <w:rFonts w:ascii="仿宋" w:hAnsi="仿宋" w:eastAsia="仿宋" w:cs="宋体"/>
          <w:color w:val="000000"/>
          <w:kern w:val="0"/>
          <w:sz w:val="32"/>
          <w:szCs w:val="32"/>
        </w:rPr>
      </w:pPr>
      <w:r>
        <w:rPr>
          <w:rFonts w:hint="eastAsia" w:ascii="仿宋" w:hAnsi="仿宋" w:eastAsia="仿宋" w:cs="宋体"/>
          <w:bCs/>
          <w:sz w:val="32"/>
          <w:szCs w:val="32"/>
        </w:rPr>
        <w:t>四川省房地产业协会物业管理专业委员会</w:t>
      </w:r>
    </w:p>
    <w:p>
      <w:pPr>
        <w:pStyle w:val="9"/>
        <w:spacing w:line="276" w:lineRule="auto"/>
        <w:ind w:firstLine="600" w:firstLineChars="0"/>
        <w:rPr>
          <w:rFonts w:hint="eastAsia" w:ascii="仿宋" w:hAnsi="仿宋" w:eastAsia="仿宋" w:cs="宋体"/>
          <w:bCs/>
          <w:sz w:val="32"/>
          <w:szCs w:val="32"/>
        </w:rPr>
      </w:pPr>
      <w:r>
        <w:rPr>
          <w:rFonts w:hint="eastAsia" w:ascii="仿宋" w:hAnsi="仿宋" w:eastAsia="仿宋" w:cs="宋体"/>
          <w:bCs/>
          <w:sz w:val="32"/>
          <w:szCs w:val="32"/>
        </w:rPr>
        <w:t>联系人：罗静、蒋吉妮    电话：028-87829580、87833642</w:t>
      </w:r>
    </w:p>
    <w:p>
      <w:pPr>
        <w:pStyle w:val="9"/>
        <w:spacing w:line="276" w:lineRule="auto"/>
        <w:ind w:firstLine="600" w:firstLineChars="0"/>
        <w:rPr>
          <w:rFonts w:ascii="仿宋" w:hAnsi="仿宋" w:eastAsia="仿宋" w:cs="宋体"/>
          <w:bCs/>
          <w:sz w:val="32"/>
          <w:szCs w:val="32"/>
        </w:rPr>
      </w:pPr>
      <w:r>
        <w:rPr>
          <w:rFonts w:hint="eastAsia" w:ascii="仿宋" w:hAnsi="仿宋" w:eastAsia="仿宋" w:cs="宋体"/>
          <w:bCs/>
          <w:sz w:val="32"/>
          <w:szCs w:val="32"/>
        </w:rPr>
        <w:t>成都市物业管理协会</w:t>
      </w:r>
    </w:p>
    <w:p>
      <w:pPr>
        <w:pStyle w:val="9"/>
        <w:spacing w:line="276" w:lineRule="auto"/>
        <w:ind w:firstLine="600" w:firstLineChars="0"/>
        <w:rPr>
          <w:rFonts w:ascii="仿宋" w:hAnsi="仿宋" w:eastAsia="仿宋" w:cs="宋体"/>
          <w:bCs/>
          <w:sz w:val="32"/>
          <w:szCs w:val="32"/>
        </w:rPr>
      </w:pPr>
      <w:r>
        <w:rPr>
          <w:rFonts w:hint="eastAsia" w:ascii="仿宋" w:hAnsi="仿宋" w:eastAsia="仿宋" w:cs="宋体"/>
          <w:bCs/>
          <w:sz w:val="32"/>
          <w:szCs w:val="32"/>
        </w:rPr>
        <w:t>联系人：杨丹、许彪       电话：028-61515315、61515025</w:t>
      </w:r>
    </w:p>
    <w:p>
      <w:pPr>
        <w:pStyle w:val="9"/>
        <w:spacing w:line="276" w:lineRule="auto"/>
        <w:ind w:firstLine="600" w:firstLineChars="0"/>
        <w:rPr>
          <w:rFonts w:ascii="仿宋" w:hAnsi="仿宋" w:eastAsia="仿宋" w:cs="宋体"/>
          <w:bCs/>
          <w:sz w:val="32"/>
          <w:szCs w:val="32"/>
        </w:rPr>
      </w:pPr>
      <w:r>
        <w:rPr>
          <w:rFonts w:hint="eastAsia" w:ascii="仿宋" w:hAnsi="仿宋" w:eastAsia="仿宋" w:cs="宋体"/>
          <w:bCs/>
          <w:sz w:val="32"/>
          <w:szCs w:val="32"/>
        </w:rPr>
        <w:t xml:space="preserve">邮  箱：41268896@qq.com </w:t>
      </w:r>
    </w:p>
    <w:p>
      <w:pPr>
        <w:pStyle w:val="9"/>
        <w:spacing w:line="276" w:lineRule="auto"/>
        <w:ind w:firstLine="600" w:firstLineChars="0"/>
        <w:rPr>
          <w:rFonts w:ascii="仿宋" w:hAnsi="仿宋" w:eastAsia="仿宋" w:cs="宋体"/>
          <w:bCs/>
          <w:sz w:val="32"/>
          <w:szCs w:val="32"/>
        </w:rPr>
      </w:pPr>
      <w:r>
        <w:rPr>
          <w:rFonts w:hint="eastAsia" w:ascii="仿宋" w:hAnsi="仿宋" w:eastAsia="仿宋" w:cs="宋体"/>
          <w:bCs/>
          <w:sz w:val="32"/>
          <w:szCs w:val="32"/>
        </w:rPr>
        <w:t>附件：1、第二届四川省物业管理行业职业技能竞赛报名表</w:t>
      </w:r>
    </w:p>
    <w:p>
      <w:pPr>
        <w:pStyle w:val="9"/>
        <w:spacing w:line="276" w:lineRule="auto"/>
        <w:ind w:firstLine="1600" w:firstLineChars="500"/>
        <w:rPr>
          <w:rFonts w:ascii="仿宋" w:hAnsi="仿宋" w:eastAsia="仿宋" w:cs="宋体"/>
          <w:bCs/>
          <w:sz w:val="32"/>
          <w:szCs w:val="32"/>
        </w:rPr>
      </w:pPr>
      <w:r>
        <w:rPr>
          <w:rFonts w:hint="eastAsia" w:ascii="仿宋" w:hAnsi="仿宋" w:eastAsia="仿宋" w:cs="宋体"/>
          <w:bCs/>
          <w:sz w:val="32"/>
          <w:szCs w:val="32"/>
        </w:rPr>
        <w:t>2、物业管理员职业技能竞赛技术文件</w:t>
      </w:r>
    </w:p>
    <w:p>
      <w:pPr>
        <w:pStyle w:val="9"/>
        <w:spacing w:line="276" w:lineRule="auto"/>
        <w:ind w:firstLine="1600" w:firstLineChars="500"/>
        <w:rPr>
          <w:rFonts w:ascii="仿宋" w:hAnsi="仿宋" w:eastAsia="仿宋" w:cs="宋体"/>
          <w:bCs/>
          <w:sz w:val="32"/>
          <w:szCs w:val="32"/>
        </w:rPr>
      </w:pPr>
      <w:r>
        <w:rPr>
          <w:rFonts w:hint="eastAsia" w:ascii="仿宋" w:hAnsi="仿宋" w:eastAsia="仿宋" w:cs="宋体"/>
          <w:bCs/>
          <w:sz w:val="32"/>
          <w:szCs w:val="32"/>
        </w:rPr>
        <w:t>3、电工职业技能竞赛技术文件</w:t>
      </w:r>
    </w:p>
    <w:p>
      <w:pPr>
        <w:snapToGrid w:val="0"/>
        <w:spacing w:line="276" w:lineRule="auto"/>
        <w:ind w:firstLine="640" w:firstLineChars="200"/>
        <w:rPr>
          <w:rFonts w:hint="eastAsia" w:ascii="仿宋" w:hAnsi="仿宋" w:eastAsia="仿宋" w:cs="宋体"/>
          <w:bCs/>
          <w:sz w:val="32"/>
          <w:szCs w:val="32"/>
        </w:rPr>
      </w:pPr>
      <w:r>
        <w:rPr>
          <w:rFonts w:hint="eastAsia" w:ascii="仿宋" w:hAnsi="仿宋" w:eastAsia="仿宋" w:cs="宋体"/>
          <w:bCs/>
          <w:sz w:val="32"/>
          <w:szCs w:val="32"/>
        </w:rPr>
        <w:drawing>
          <wp:anchor distT="0" distB="0" distL="114300" distR="114300" simplePos="0" relativeHeight="251659264" behindDoc="1" locked="0" layoutInCell="1" allowOverlap="1">
            <wp:simplePos x="0" y="0"/>
            <wp:positionH relativeFrom="column">
              <wp:posOffset>3863340</wp:posOffset>
            </wp:positionH>
            <wp:positionV relativeFrom="paragraph">
              <wp:posOffset>241300</wp:posOffset>
            </wp:positionV>
            <wp:extent cx="1818005" cy="1706245"/>
            <wp:effectExtent l="0" t="0" r="10795" b="8255"/>
            <wp:wrapNone/>
            <wp:docPr id="5" name="图片 5" descr="印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印章"/>
                    <pic:cNvPicPr>
                      <a:picLocks noChangeAspect="1"/>
                    </pic:cNvPicPr>
                  </pic:nvPicPr>
                  <pic:blipFill>
                    <a:blip r:embed="rId6"/>
                    <a:stretch>
                      <a:fillRect/>
                    </a:stretch>
                  </pic:blipFill>
                  <pic:spPr>
                    <a:xfrm>
                      <a:off x="0" y="0"/>
                      <a:ext cx="1818005" cy="1706245"/>
                    </a:xfrm>
                    <a:prstGeom prst="rect">
                      <a:avLst/>
                    </a:prstGeom>
                    <a:noFill/>
                    <a:ln w="9525">
                      <a:noFill/>
                    </a:ln>
                  </pic:spPr>
                </pic:pic>
              </a:graphicData>
            </a:graphic>
          </wp:anchor>
        </w:drawing>
      </w:r>
      <w:r>
        <w:rPr>
          <w:rFonts w:hint="eastAsia" w:ascii="仿宋" w:hAnsi="仿宋" w:eastAsia="仿宋" w:cs="宋体"/>
          <w:bCs/>
          <w:sz w:val="32"/>
          <w:szCs w:val="32"/>
        </w:rPr>
        <w:drawing>
          <wp:anchor distT="0" distB="0" distL="114300" distR="114300" simplePos="0" relativeHeight="251658240" behindDoc="1" locked="0" layoutInCell="1" allowOverlap="1">
            <wp:simplePos x="0" y="0"/>
            <wp:positionH relativeFrom="column">
              <wp:posOffset>1986915</wp:posOffset>
            </wp:positionH>
            <wp:positionV relativeFrom="paragraph">
              <wp:posOffset>181610</wp:posOffset>
            </wp:positionV>
            <wp:extent cx="2238375" cy="1866900"/>
            <wp:effectExtent l="328295" t="461010" r="328930" b="472440"/>
            <wp:wrapNone/>
            <wp:docPr id="6" name="图片 6"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0"/>
                    <pic:cNvPicPr>
                      <a:picLocks noChangeAspect="1"/>
                    </pic:cNvPicPr>
                  </pic:nvPicPr>
                  <pic:blipFill>
                    <a:blip r:embed="rId7"/>
                    <a:stretch>
                      <a:fillRect/>
                    </a:stretch>
                  </pic:blipFill>
                  <pic:spPr>
                    <a:xfrm rot="55995165">
                      <a:off x="0" y="0"/>
                      <a:ext cx="2238375" cy="1866900"/>
                    </a:xfrm>
                    <a:prstGeom prst="rect">
                      <a:avLst/>
                    </a:prstGeom>
                    <a:noFill/>
                    <a:ln w="9525">
                      <a:noFill/>
                    </a:ln>
                  </pic:spPr>
                </pic:pic>
              </a:graphicData>
            </a:graphic>
          </wp:anchor>
        </w:drawing>
      </w:r>
    </w:p>
    <w:p>
      <w:pPr>
        <w:snapToGrid w:val="0"/>
        <w:spacing w:line="276" w:lineRule="auto"/>
        <w:rPr>
          <w:rFonts w:hint="eastAsia" w:ascii="仿宋" w:hAnsi="仿宋" w:eastAsia="仿宋" w:cs="宋体"/>
          <w:bCs/>
          <w:sz w:val="32"/>
          <w:szCs w:val="32"/>
        </w:rPr>
      </w:pPr>
    </w:p>
    <w:p>
      <w:pPr>
        <w:snapToGrid w:val="0"/>
        <w:spacing w:line="276" w:lineRule="auto"/>
        <w:ind w:firstLine="640" w:firstLineChars="200"/>
        <w:jc w:val="center"/>
        <w:rPr>
          <w:rFonts w:hint="eastAsia" w:ascii="仿宋" w:hAnsi="仿宋" w:eastAsia="仿宋" w:cs="宋体"/>
          <w:bCs/>
          <w:sz w:val="32"/>
          <w:szCs w:val="32"/>
        </w:rPr>
      </w:pPr>
    </w:p>
    <w:p>
      <w:pPr>
        <w:snapToGrid w:val="0"/>
        <w:spacing w:line="276" w:lineRule="auto"/>
        <w:ind w:firstLine="640" w:firstLineChars="200"/>
        <w:jc w:val="center"/>
        <w:rPr>
          <w:rFonts w:hint="eastAsia" w:ascii="仿宋" w:hAnsi="仿宋" w:eastAsia="仿宋" w:cs="宋体"/>
          <w:bCs/>
          <w:sz w:val="32"/>
          <w:szCs w:val="32"/>
        </w:rPr>
      </w:pPr>
      <w:r>
        <w:rPr>
          <w:rFonts w:hint="eastAsia" w:ascii="仿宋" w:hAnsi="仿宋" w:eastAsia="仿宋" w:cs="宋体"/>
          <w:bCs/>
          <w:sz w:val="32"/>
          <w:szCs w:val="32"/>
        </w:rPr>
        <w:t xml:space="preserve">                        </w:t>
      </w:r>
      <w:r>
        <w:rPr>
          <w:rFonts w:ascii="仿宋" w:hAnsi="仿宋" w:eastAsia="仿宋" w:cs="宋体"/>
          <w:bCs/>
          <w:sz w:val="32"/>
          <w:szCs w:val="32"/>
        </w:rPr>
        <w:t>2018年3月</w:t>
      </w:r>
      <w:r>
        <w:rPr>
          <w:rFonts w:hint="eastAsia" w:ascii="仿宋" w:hAnsi="仿宋" w:eastAsia="仿宋" w:cs="宋体"/>
          <w:bCs/>
          <w:sz w:val="32"/>
          <w:szCs w:val="32"/>
        </w:rPr>
        <w:t>14</w:t>
      </w:r>
      <w:r>
        <w:rPr>
          <w:rFonts w:ascii="仿宋" w:hAnsi="仿宋" w:eastAsia="仿宋" w:cs="宋体"/>
          <w:bCs/>
          <w:sz w:val="32"/>
          <w:szCs w:val="32"/>
        </w:rPr>
        <w:t>日</w:t>
      </w:r>
    </w:p>
    <w:p>
      <w:pPr>
        <w:snapToGrid w:val="0"/>
        <w:spacing w:line="276" w:lineRule="auto"/>
        <w:ind w:firstLine="640" w:firstLineChars="200"/>
        <w:rPr>
          <w:rFonts w:hint="eastAsia" w:ascii="仿宋" w:hAnsi="仿宋" w:eastAsia="仿宋" w:cs="宋体"/>
          <w:bCs/>
          <w:sz w:val="32"/>
          <w:szCs w:val="32"/>
        </w:rPr>
      </w:pPr>
    </w:p>
    <w:p>
      <w:pPr>
        <w:snapToGrid w:val="0"/>
        <w:spacing w:line="276" w:lineRule="auto"/>
        <w:ind w:firstLine="640" w:firstLineChars="200"/>
        <w:rPr>
          <w:rFonts w:hint="eastAsia" w:ascii="仿宋" w:hAnsi="仿宋" w:eastAsia="仿宋" w:cs="宋体"/>
          <w:bCs/>
          <w:sz w:val="32"/>
          <w:szCs w:val="32"/>
        </w:rPr>
      </w:pPr>
    </w:p>
    <w:p>
      <w:pPr>
        <w:snapToGrid w:val="0"/>
        <w:spacing w:line="276" w:lineRule="auto"/>
        <w:ind w:firstLine="640" w:firstLineChars="200"/>
        <w:rPr>
          <w:rFonts w:ascii="仿宋" w:hAnsi="仿宋" w:eastAsia="仿宋" w:cs="宋体"/>
          <w:bCs/>
          <w:sz w:val="32"/>
          <w:szCs w:val="32"/>
        </w:rPr>
      </w:pPr>
    </w:p>
    <w:p>
      <w:pPr>
        <w:snapToGrid w:val="0"/>
        <w:spacing w:line="276" w:lineRule="auto"/>
        <w:ind w:firstLine="640" w:firstLineChars="200"/>
        <w:rPr>
          <w:rFonts w:ascii="仿宋" w:hAnsi="仿宋" w:eastAsia="仿宋" w:cs="宋体"/>
          <w:bCs/>
          <w:sz w:val="32"/>
          <w:szCs w:val="32"/>
        </w:rPr>
      </w:pPr>
    </w:p>
    <w:p>
      <w:pPr>
        <w:snapToGrid w:val="0"/>
        <w:spacing w:line="276" w:lineRule="auto"/>
        <w:ind w:firstLine="640" w:firstLineChars="200"/>
        <w:rPr>
          <w:rFonts w:ascii="仿宋" w:hAnsi="仿宋" w:eastAsia="仿宋" w:cs="宋体"/>
          <w:bCs/>
          <w:sz w:val="32"/>
          <w:szCs w:val="32"/>
        </w:rPr>
      </w:pPr>
    </w:p>
    <w:p>
      <w:pPr>
        <w:snapToGrid w:val="0"/>
        <w:spacing w:line="276" w:lineRule="auto"/>
        <w:ind w:firstLine="640" w:firstLineChars="200"/>
        <w:rPr>
          <w:rFonts w:ascii="仿宋" w:hAnsi="仿宋" w:eastAsia="仿宋" w:cs="宋体"/>
          <w:bCs/>
          <w:sz w:val="32"/>
          <w:szCs w:val="32"/>
        </w:rPr>
      </w:pPr>
    </w:p>
    <w:p>
      <w:pPr>
        <w:snapToGrid w:val="0"/>
        <w:spacing w:line="276" w:lineRule="auto"/>
        <w:ind w:firstLine="640" w:firstLineChars="200"/>
        <w:rPr>
          <w:rFonts w:ascii="仿宋" w:hAnsi="仿宋" w:eastAsia="仿宋" w:cs="宋体"/>
          <w:bCs/>
          <w:sz w:val="32"/>
          <w:szCs w:val="32"/>
        </w:rPr>
      </w:pPr>
    </w:p>
    <w:p>
      <w:pPr>
        <w:snapToGrid w:val="0"/>
        <w:spacing w:line="276" w:lineRule="auto"/>
        <w:rPr>
          <w:rFonts w:hint="eastAsia" w:ascii="仿宋" w:hAnsi="仿宋" w:eastAsia="仿宋" w:cs="宋体"/>
          <w:bCs/>
          <w:sz w:val="32"/>
          <w:szCs w:val="32"/>
        </w:rPr>
      </w:pPr>
    </w:p>
    <w:p>
      <w:pPr>
        <w:tabs>
          <w:tab w:val="left" w:pos="8400"/>
          <w:tab w:val="left" w:pos="8715"/>
        </w:tabs>
        <w:adjustRightInd w:val="0"/>
        <w:snapToGrid w:val="0"/>
        <w:spacing w:line="276" w:lineRule="auto"/>
        <w:rPr>
          <w:rFonts w:hint="eastAsia" w:ascii="仿宋" w:hAnsi="仿宋" w:eastAsia="仿宋"/>
          <w:b/>
          <w:color w:val="000000"/>
          <w:sz w:val="32"/>
        </w:rPr>
      </w:pPr>
      <w:r>
        <w:rPr>
          <w:rFonts w:hint="eastAsia" w:ascii="仿宋" w:hAnsi="仿宋" w:eastAsia="仿宋"/>
          <w:b/>
          <w:color w:val="000000"/>
          <w:sz w:val="20"/>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373380</wp:posOffset>
                </wp:positionV>
                <wp:extent cx="5734050" cy="0"/>
                <wp:effectExtent l="0" t="0" r="0" b="0"/>
                <wp:wrapNone/>
                <wp:docPr id="4" name="直线 7"/>
                <wp:cNvGraphicFramePr/>
                <a:graphic xmlns:a="http://schemas.openxmlformats.org/drawingml/2006/main">
                  <a:graphicData uri="http://schemas.microsoft.com/office/word/2010/wordprocessingShape">
                    <wps:wsp>
                      <wps:cNvSp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0pt;margin-top:29.4pt;height:0pt;width:451.5pt;z-index:251664384;mso-width-relative:page;mso-height-relative:page;" filled="f" coordsize="21600,21600" o:gfxdata="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1IyMS9MAAAAGAQAADwAAAAAAAAABACAAAAAiAAAAZHJzL2Rv&#10;d25yZXYueG1sUEsBAhQAFAAAAAgAh07iQFwkKYrNAQAAjQMAAA4AAAAAAAAAAQAgAAAAIgEAAGRy&#10;cy9lMm9Eb2MueG1sUEsFBgAAAAAGAAYAWQEAAGEFAAAAAA==&#10;">
                <v:path arrowok="t"/>
                <v:fill on="f" focussize="0,0"/>
                <v:stroke/>
                <v:imagedata o:title=""/>
                <o:lock v:ext="edit"/>
              </v:line>
            </w:pict>
          </mc:Fallback>
        </mc:AlternateContent>
      </w:r>
      <w:r>
        <w:rPr>
          <w:rFonts w:hint="eastAsia" w:ascii="仿宋" w:hAnsi="仿宋" w:eastAsia="仿宋"/>
          <w:b/>
          <w:color w:val="000000"/>
          <w:sz w:val="32"/>
          <w:szCs w:val="32"/>
        </w:rPr>
        <w:t>信息公开类别：主动公开</w:t>
      </w:r>
    </w:p>
    <w:p>
      <w:pPr>
        <w:pStyle w:val="2"/>
        <w:shd w:val="clear" w:color="auto" w:fill="FFFFFF"/>
        <w:adjustRightInd w:val="0"/>
        <w:snapToGrid w:val="0"/>
        <w:spacing w:before="0" w:beforeAutospacing="0" w:after="0" w:afterAutospacing="0" w:line="276" w:lineRule="auto"/>
        <w:rPr>
          <w:rFonts w:ascii="仿宋" w:hAnsi="仿宋" w:eastAsia="仿宋"/>
          <w:color w:val="000000"/>
          <w:sz w:val="32"/>
        </w:rPr>
      </w:pPr>
    </w:p>
    <w:p>
      <w:pPr>
        <w:pStyle w:val="2"/>
        <w:shd w:val="clear" w:color="auto" w:fill="FFFFFF"/>
        <w:adjustRightInd w:val="0"/>
        <w:snapToGrid w:val="0"/>
        <w:spacing w:before="0" w:beforeAutospacing="0" w:after="0" w:afterAutospacing="0" w:line="276" w:lineRule="auto"/>
        <w:rPr>
          <w:rFonts w:ascii="仿宋" w:hAnsi="仿宋" w:eastAsia="仿宋"/>
          <w:b w:val="0"/>
          <w:color w:val="000000"/>
          <w:sz w:val="32"/>
        </w:rPr>
        <w:sectPr>
          <w:footerReference r:id="rId3" w:type="default"/>
          <w:footerReference r:id="rId4" w:type="even"/>
          <w:pgSz w:w="11906" w:h="16838"/>
          <w:pgMar w:top="1474" w:right="1418" w:bottom="1474" w:left="1418" w:header="851" w:footer="992" w:gutter="0"/>
          <w:pgNumType w:start="1"/>
          <w:cols w:space="720" w:num="1"/>
          <w:docGrid w:type="lines" w:linePitch="381" w:charSpace="0"/>
        </w:sectPr>
      </w:pPr>
      <w:r>
        <w:rPr>
          <w:rFonts w:hint="eastAsia" w:ascii="仿宋" w:hAnsi="仿宋" w:eastAsia="仿宋"/>
          <w:color w:val="000000"/>
          <w:sz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695325</wp:posOffset>
                </wp:positionV>
                <wp:extent cx="5734050" cy="0"/>
                <wp:effectExtent l="0" t="0" r="0" b="0"/>
                <wp:wrapNone/>
                <wp:docPr id="3" name="直线 8"/>
                <wp:cNvGraphicFramePr/>
                <a:graphic xmlns:a="http://schemas.openxmlformats.org/drawingml/2006/main">
                  <a:graphicData uri="http://schemas.microsoft.com/office/word/2010/wordprocessingShape">
                    <wps:wsp>
                      <wps:cNvSp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0pt;margin-top:54.75pt;height:0pt;width:451.5pt;z-index:251665408;mso-width-relative:page;mso-height-relative:page;" filled="f" coordsize="21600,21600" o:gfxdata="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j966nUAAAACAEAAA8AAAAAAAAAAQAgAAAAIgAAAGRycy9k&#10;b3ducmV2LnhtbFBLAQIUABQAAAAIAIdO4kDSJtKMzQEAAI0DAAAOAAAAAAAAAAEAIAAAACMBAABk&#10;cnMvZTJvRG9jLnhtbFBLBQYAAAAABgAGAFkBAABiBQAAAAA=&#10;">
                <v:path arrowok="t"/>
                <v:fill on="f" focussize="0,0"/>
                <v:stroke/>
                <v:imagedata o:title=""/>
                <o:lock v:ext="edit"/>
              </v:line>
            </w:pict>
          </mc:Fallback>
        </mc:AlternateContent>
      </w:r>
      <w:r>
        <w:rPr>
          <w:rFonts w:hint="eastAsia" w:ascii="仿宋" w:hAnsi="仿宋" w:eastAsia="仿宋"/>
          <w:color w:val="000000"/>
          <w:sz w:val="32"/>
        </w:rPr>
        <w:t>抄送：</w:t>
      </w:r>
      <w:r>
        <w:rPr>
          <w:rFonts w:hint="eastAsia" w:ascii="仿宋" w:hAnsi="仿宋" w:eastAsia="仿宋"/>
          <w:b w:val="0"/>
          <w:color w:val="000000"/>
          <w:sz w:val="32"/>
        </w:rPr>
        <w:t>中国物业管理协会、</w:t>
      </w:r>
      <w:r>
        <w:rPr>
          <w:rFonts w:ascii="仿宋" w:hAnsi="仿宋" w:eastAsia="仿宋"/>
          <w:b w:val="0"/>
          <w:color w:val="000000"/>
          <w:sz w:val="32"/>
        </w:rPr>
        <w:t>四川省住房和城乡建设厅</w:t>
      </w:r>
      <w:r>
        <w:rPr>
          <w:rFonts w:hint="eastAsia" w:ascii="仿宋" w:hAnsi="仿宋" w:eastAsia="仿宋"/>
          <w:b w:val="0"/>
          <w:color w:val="000000"/>
          <w:sz w:val="32"/>
        </w:rPr>
        <w:t>、成都市城乡房产管理局、有关地方物业管理部门及协会。</w:t>
      </w:r>
    </w:p>
    <w:p>
      <w:pPr>
        <w:suppressAutoHyphens/>
        <w:adjustRightInd w:val="0"/>
        <w:snapToGrid w:val="0"/>
        <w:spacing w:line="276" w:lineRule="auto"/>
        <w:jc w:val="left"/>
        <w:rPr>
          <w:rFonts w:hint="eastAsia" w:ascii="仿宋" w:hAnsi="仿宋" w:eastAsia="仿宋" w:cs="宋体"/>
          <w:bCs/>
          <w:sz w:val="32"/>
          <w:szCs w:val="32"/>
        </w:rPr>
      </w:pPr>
      <w:r>
        <w:rPr>
          <w:rFonts w:hint="eastAsia" w:ascii="仿宋" w:hAnsi="仿宋" w:eastAsia="仿宋" w:cs="宋体"/>
          <w:bCs/>
          <w:sz w:val="32"/>
          <w:szCs w:val="32"/>
        </w:rPr>
        <w:t>附件1</w:t>
      </w:r>
    </w:p>
    <w:tbl>
      <w:tblPr>
        <w:tblStyle w:val="8"/>
        <w:tblW w:w="9940" w:type="dxa"/>
        <w:jc w:val="center"/>
        <w:tblInd w:w="96" w:type="dxa"/>
        <w:tblLayout w:type="fixed"/>
        <w:tblCellMar>
          <w:top w:w="0" w:type="dxa"/>
          <w:left w:w="108" w:type="dxa"/>
          <w:bottom w:w="0" w:type="dxa"/>
          <w:right w:w="108" w:type="dxa"/>
        </w:tblCellMar>
      </w:tblPr>
      <w:tblGrid>
        <w:gridCol w:w="580"/>
        <w:gridCol w:w="1040"/>
        <w:gridCol w:w="1140"/>
        <w:gridCol w:w="1240"/>
        <w:gridCol w:w="1040"/>
        <w:gridCol w:w="1040"/>
        <w:gridCol w:w="1040"/>
        <w:gridCol w:w="1100"/>
        <w:gridCol w:w="880"/>
        <w:gridCol w:w="840"/>
      </w:tblGrid>
      <w:tr>
        <w:tblPrEx>
          <w:tblLayout w:type="fixed"/>
          <w:tblCellMar>
            <w:top w:w="0" w:type="dxa"/>
            <w:left w:w="108" w:type="dxa"/>
            <w:bottom w:w="0" w:type="dxa"/>
            <w:right w:w="108" w:type="dxa"/>
          </w:tblCellMar>
        </w:tblPrEx>
        <w:trPr>
          <w:trHeight w:val="540" w:hRule="atLeast"/>
          <w:jc w:val="center"/>
        </w:trPr>
        <w:tc>
          <w:tcPr>
            <w:tcW w:w="9940" w:type="dxa"/>
            <w:gridSpan w:val="10"/>
            <w:tcBorders>
              <w:top w:val="nil"/>
              <w:left w:val="nil"/>
              <w:bottom w:val="nil"/>
              <w:right w:val="nil"/>
            </w:tcBorders>
            <w:vAlign w:val="center"/>
          </w:tcPr>
          <w:p>
            <w:pPr>
              <w:widowControl/>
              <w:spacing w:line="276" w:lineRule="auto"/>
              <w:jc w:val="center"/>
              <w:rPr>
                <w:rFonts w:ascii="仿宋" w:hAnsi="仿宋" w:eastAsia="仿宋" w:cs="宋体"/>
                <w:b/>
                <w:color w:val="000000"/>
                <w:kern w:val="0"/>
                <w:sz w:val="32"/>
                <w:szCs w:val="32"/>
              </w:rPr>
            </w:pPr>
            <w:r>
              <w:rPr>
                <w:rFonts w:hint="eastAsia" w:ascii="仿宋" w:hAnsi="仿宋" w:eastAsia="仿宋" w:cs="宋体"/>
                <w:b/>
                <w:color w:val="000000"/>
                <w:kern w:val="0"/>
                <w:sz w:val="32"/>
                <w:szCs w:val="32"/>
              </w:rPr>
              <w:t>第二届四川省物业管理行业职业技能竞赛报名表</w:t>
            </w:r>
          </w:p>
        </w:tc>
      </w:tr>
      <w:tr>
        <w:tblPrEx>
          <w:tblLayout w:type="fixed"/>
          <w:tblCellMar>
            <w:top w:w="0" w:type="dxa"/>
            <w:left w:w="108" w:type="dxa"/>
            <w:bottom w:w="0" w:type="dxa"/>
            <w:right w:w="108" w:type="dxa"/>
          </w:tblCellMar>
        </w:tblPrEx>
        <w:trPr>
          <w:trHeight w:val="540" w:hRule="atLeast"/>
          <w:jc w:val="center"/>
        </w:trPr>
        <w:tc>
          <w:tcPr>
            <w:tcW w:w="5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参  赛  企  业  信  息</w:t>
            </w:r>
          </w:p>
        </w:tc>
        <w:tc>
          <w:tcPr>
            <w:tcW w:w="2180" w:type="dxa"/>
            <w:gridSpan w:val="2"/>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企业名称（公章）</w:t>
            </w:r>
          </w:p>
        </w:tc>
        <w:tc>
          <w:tcPr>
            <w:tcW w:w="5460" w:type="dxa"/>
            <w:gridSpan w:val="5"/>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　</w:t>
            </w:r>
          </w:p>
        </w:tc>
        <w:tc>
          <w:tcPr>
            <w:tcW w:w="1720"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粘贴照片处            (1寸近照)</w:t>
            </w:r>
          </w:p>
        </w:tc>
      </w:tr>
      <w:tr>
        <w:tblPrEx>
          <w:tblLayout w:type="fixed"/>
          <w:tblCellMar>
            <w:top w:w="0" w:type="dxa"/>
            <w:left w:w="108" w:type="dxa"/>
            <w:bottom w:w="0" w:type="dxa"/>
            <w:right w:w="108" w:type="dxa"/>
          </w:tblCellMar>
        </w:tblPrEx>
        <w:trPr>
          <w:trHeight w:val="540" w:hRule="atLeast"/>
          <w:jc w:val="center"/>
        </w:trPr>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宋体"/>
                <w:color w:val="000000"/>
                <w:kern w:val="0"/>
                <w:sz w:val="20"/>
                <w:szCs w:val="20"/>
              </w:rPr>
            </w:pPr>
          </w:p>
        </w:tc>
        <w:tc>
          <w:tcPr>
            <w:tcW w:w="2180" w:type="dxa"/>
            <w:gridSpan w:val="2"/>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领队（联络员）姓名</w:t>
            </w:r>
          </w:p>
        </w:tc>
        <w:tc>
          <w:tcPr>
            <w:tcW w:w="1240"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1040"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手机号码</w:t>
            </w:r>
          </w:p>
        </w:tc>
        <w:tc>
          <w:tcPr>
            <w:tcW w:w="1040"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1040"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座机号码</w:t>
            </w:r>
          </w:p>
        </w:tc>
        <w:tc>
          <w:tcPr>
            <w:tcW w:w="1100" w:type="dxa"/>
            <w:tcBorders>
              <w:top w:val="nil"/>
              <w:left w:val="nil"/>
              <w:bottom w:val="single" w:color="auto" w:sz="4" w:space="0"/>
              <w:right w:val="single" w:color="auto" w:sz="4" w:space="0"/>
            </w:tcBorders>
            <w:vAlign w:val="center"/>
          </w:tcPr>
          <w:p>
            <w:pPr>
              <w:widowControl/>
              <w:spacing w:line="276" w:lineRule="auto"/>
              <w:jc w:val="left"/>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　</w:t>
            </w:r>
          </w:p>
        </w:tc>
        <w:tc>
          <w:tcPr>
            <w:tcW w:w="1720" w:type="dxa"/>
            <w:gridSpan w:val="2"/>
            <w:vMerge w:val="continue"/>
            <w:tcBorders>
              <w:top w:val="nil"/>
              <w:left w:val="nil"/>
              <w:bottom w:val="single" w:color="auto" w:sz="4" w:space="0"/>
              <w:right w:val="single" w:color="auto" w:sz="4" w:space="0"/>
            </w:tcBorders>
            <w:vAlign w:val="center"/>
          </w:tcPr>
          <w:p>
            <w:pPr>
              <w:widowControl/>
              <w:spacing w:line="276" w:lineRule="auto"/>
              <w:jc w:val="left"/>
              <w:rPr>
                <w:rFonts w:ascii="仿宋" w:hAnsi="仿宋" w:eastAsia="仿宋" w:cs="宋体"/>
                <w:b/>
                <w:bCs/>
                <w:color w:val="000000"/>
                <w:kern w:val="0"/>
                <w:sz w:val="20"/>
                <w:szCs w:val="20"/>
              </w:rPr>
            </w:pPr>
          </w:p>
        </w:tc>
      </w:tr>
      <w:tr>
        <w:tblPrEx>
          <w:tblLayout w:type="fixed"/>
          <w:tblCellMar>
            <w:top w:w="0" w:type="dxa"/>
            <w:left w:w="108" w:type="dxa"/>
            <w:bottom w:w="0" w:type="dxa"/>
            <w:right w:w="108" w:type="dxa"/>
          </w:tblCellMar>
        </w:tblPrEx>
        <w:trPr>
          <w:trHeight w:val="1051" w:hRule="atLeast"/>
          <w:jc w:val="center"/>
        </w:trPr>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宋体"/>
                <w:color w:val="000000"/>
                <w:kern w:val="0"/>
                <w:sz w:val="20"/>
                <w:szCs w:val="20"/>
              </w:rPr>
            </w:pPr>
          </w:p>
        </w:tc>
        <w:tc>
          <w:tcPr>
            <w:tcW w:w="2180" w:type="dxa"/>
            <w:gridSpan w:val="2"/>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企业通讯地址</w:t>
            </w:r>
          </w:p>
        </w:tc>
        <w:tc>
          <w:tcPr>
            <w:tcW w:w="5460" w:type="dxa"/>
            <w:gridSpan w:val="5"/>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　</w:t>
            </w:r>
          </w:p>
        </w:tc>
        <w:tc>
          <w:tcPr>
            <w:tcW w:w="1720" w:type="dxa"/>
            <w:gridSpan w:val="2"/>
            <w:vMerge w:val="continue"/>
            <w:tcBorders>
              <w:top w:val="nil"/>
              <w:left w:val="nil"/>
              <w:bottom w:val="single" w:color="auto" w:sz="4" w:space="0"/>
              <w:right w:val="single" w:color="auto" w:sz="4" w:space="0"/>
            </w:tcBorders>
            <w:vAlign w:val="center"/>
          </w:tcPr>
          <w:p>
            <w:pPr>
              <w:widowControl/>
              <w:spacing w:line="276" w:lineRule="auto"/>
              <w:jc w:val="left"/>
              <w:rPr>
                <w:rFonts w:ascii="仿宋" w:hAnsi="仿宋" w:eastAsia="仿宋" w:cs="宋体"/>
                <w:b/>
                <w:bCs/>
                <w:color w:val="000000"/>
                <w:kern w:val="0"/>
                <w:sz w:val="20"/>
                <w:szCs w:val="20"/>
              </w:rPr>
            </w:pPr>
          </w:p>
        </w:tc>
      </w:tr>
      <w:tr>
        <w:tblPrEx>
          <w:tblLayout w:type="fixed"/>
          <w:tblCellMar>
            <w:top w:w="0" w:type="dxa"/>
            <w:left w:w="108" w:type="dxa"/>
            <w:bottom w:w="0" w:type="dxa"/>
            <w:right w:w="108" w:type="dxa"/>
          </w:tblCellMar>
        </w:tblPrEx>
        <w:trPr>
          <w:trHeight w:val="540" w:hRule="atLeast"/>
          <w:jc w:val="center"/>
        </w:trPr>
        <w:tc>
          <w:tcPr>
            <w:tcW w:w="580" w:type="dxa"/>
            <w:vMerge w:val="restart"/>
            <w:tcBorders>
              <w:top w:val="nil"/>
              <w:left w:val="single" w:color="auto" w:sz="4" w:space="0"/>
              <w:bottom w:val="single" w:color="auto" w:sz="4" w:space="0"/>
              <w:right w:val="single" w:color="auto" w:sz="4" w:space="0"/>
            </w:tcBorders>
            <w:vAlign w:val="center"/>
          </w:tcPr>
          <w:p>
            <w:pPr>
              <w:widowControl/>
              <w:spacing w:line="276" w:lineRule="auto"/>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参  赛  人  员  信  息</w:t>
            </w:r>
          </w:p>
        </w:tc>
        <w:tc>
          <w:tcPr>
            <w:tcW w:w="1040"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姓名</w:t>
            </w:r>
          </w:p>
        </w:tc>
        <w:tc>
          <w:tcPr>
            <w:tcW w:w="1140"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　</w:t>
            </w:r>
          </w:p>
        </w:tc>
        <w:tc>
          <w:tcPr>
            <w:tcW w:w="1240"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性别</w:t>
            </w:r>
          </w:p>
        </w:tc>
        <w:tc>
          <w:tcPr>
            <w:tcW w:w="1040"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1040"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民族</w:t>
            </w:r>
          </w:p>
        </w:tc>
        <w:tc>
          <w:tcPr>
            <w:tcW w:w="2140" w:type="dxa"/>
            <w:gridSpan w:val="2"/>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　</w:t>
            </w:r>
          </w:p>
        </w:tc>
        <w:tc>
          <w:tcPr>
            <w:tcW w:w="1720" w:type="dxa"/>
            <w:gridSpan w:val="2"/>
            <w:vMerge w:val="continue"/>
            <w:tcBorders>
              <w:top w:val="nil"/>
              <w:left w:val="nil"/>
              <w:bottom w:val="single" w:color="auto" w:sz="4" w:space="0"/>
              <w:right w:val="single" w:color="auto" w:sz="4" w:space="0"/>
            </w:tcBorders>
            <w:vAlign w:val="center"/>
          </w:tcPr>
          <w:p>
            <w:pPr>
              <w:widowControl/>
              <w:spacing w:line="276" w:lineRule="auto"/>
              <w:jc w:val="left"/>
              <w:rPr>
                <w:rFonts w:ascii="仿宋" w:hAnsi="仿宋" w:eastAsia="仿宋" w:cs="宋体"/>
                <w:b/>
                <w:bCs/>
                <w:color w:val="000000"/>
                <w:kern w:val="0"/>
                <w:sz w:val="20"/>
                <w:szCs w:val="20"/>
              </w:rPr>
            </w:pPr>
          </w:p>
        </w:tc>
      </w:tr>
      <w:tr>
        <w:tblPrEx>
          <w:tblLayout w:type="fixed"/>
        </w:tblPrEx>
        <w:trPr>
          <w:trHeight w:val="540" w:hRule="atLeast"/>
          <w:jc w:val="center"/>
        </w:trPr>
        <w:tc>
          <w:tcPr>
            <w:tcW w:w="58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宋体"/>
                <w:color w:val="000000"/>
                <w:kern w:val="0"/>
                <w:sz w:val="20"/>
                <w:szCs w:val="20"/>
              </w:rPr>
            </w:pPr>
          </w:p>
        </w:tc>
        <w:tc>
          <w:tcPr>
            <w:tcW w:w="1040"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出生年月</w:t>
            </w:r>
          </w:p>
        </w:tc>
        <w:tc>
          <w:tcPr>
            <w:tcW w:w="1140"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　</w:t>
            </w:r>
          </w:p>
        </w:tc>
        <w:tc>
          <w:tcPr>
            <w:tcW w:w="1240"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职务</w:t>
            </w:r>
          </w:p>
        </w:tc>
        <w:tc>
          <w:tcPr>
            <w:tcW w:w="1040"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　</w:t>
            </w:r>
          </w:p>
        </w:tc>
        <w:tc>
          <w:tcPr>
            <w:tcW w:w="1040"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工种</w:t>
            </w:r>
          </w:p>
        </w:tc>
        <w:tc>
          <w:tcPr>
            <w:tcW w:w="2140" w:type="dxa"/>
            <w:gridSpan w:val="2"/>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　</w:t>
            </w:r>
          </w:p>
        </w:tc>
        <w:tc>
          <w:tcPr>
            <w:tcW w:w="1720" w:type="dxa"/>
            <w:gridSpan w:val="2"/>
            <w:vMerge w:val="continue"/>
            <w:tcBorders>
              <w:top w:val="nil"/>
              <w:left w:val="nil"/>
              <w:bottom w:val="single" w:color="auto" w:sz="4" w:space="0"/>
              <w:right w:val="single" w:color="auto" w:sz="4" w:space="0"/>
            </w:tcBorders>
            <w:vAlign w:val="center"/>
          </w:tcPr>
          <w:p>
            <w:pPr>
              <w:widowControl/>
              <w:spacing w:line="276" w:lineRule="auto"/>
              <w:jc w:val="left"/>
              <w:rPr>
                <w:rFonts w:ascii="仿宋" w:hAnsi="仿宋" w:eastAsia="仿宋" w:cs="宋体"/>
                <w:b/>
                <w:bCs/>
                <w:color w:val="000000"/>
                <w:kern w:val="0"/>
                <w:sz w:val="20"/>
                <w:szCs w:val="20"/>
              </w:rPr>
            </w:pPr>
          </w:p>
        </w:tc>
      </w:tr>
      <w:tr>
        <w:tblPrEx>
          <w:tblLayout w:type="fixed"/>
          <w:tblCellMar>
            <w:top w:w="0" w:type="dxa"/>
            <w:left w:w="108" w:type="dxa"/>
            <w:bottom w:w="0" w:type="dxa"/>
            <w:right w:w="108" w:type="dxa"/>
          </w:tblCellMar>
        </w:tblPrEx>
        <w:trPr>
          <w:trHeight w:val="540" w:hRule="atLeast"/>
          <w:jc w:val="center"/>
        </w:trPr>
        <w:tc>
          <w:tcPr>
            <w:tcW w:w="58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宋体"/>
                <w:color w:val="000000"/>
                <w:kern w:val="0"/>
                <w:sz w:val="20"/>
                <w:szCs w:val="20"/>
              </w:rPr>
            </w:pPr>
          </w:p>
        </w:tc>
        <w:tc>
          <w:tcPr>
            <w:tcW w:w="1040"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联系电话</w:t>
            </w:r>
          </w:p>
        </w:tc>
        <w:tc>
          <w:tcPr>
            <w:tcW w:w="1140"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　</w:t>
            </w:r>
          </w:p>
        </w:tc>
        <w:tc>
          <w:tcPr>
            <w:tcW w:w="1240"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微信号</w:t>
            </w:r>
          </w:p>
        </w:tc>
        <w:tc>
          <w:tcPr>
            <w:tcW w:w="1040"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　</w:t>
            </w:r>
          </w:p>
        </w:tc>
        <w:tc>
          <w:tcPr>
            <w:tcW w:w="1040"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邮箱</w:t>
            </w:r>
          </w:p>
        </w:tc>
        <w:tc>
          <w:tcPr>
            <w:tcW w:w="3860" w:type="dxa"/>
            <w:gridSpan w:val="4"/>
            <w:tcBorders>
              <w:top w:val="single" w:color="auto" w:sz="4" w:space="0"/>
              <w:left w:val="nil"/>
              <w:bottom w:val="single" w:color="auto" w:sz="4" w:space="0"/>
              <w:right w:val="single" w:color="000000"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　</w:t>
            </w:r>
          </w:p>
        </w:tc>
      </w:tr>
      <w:tr>
        <w:tblPrEx>
          <w:tblLayout w:type="fixed"/>
          <w:tblCellMar>
            <w:top w:w="0" w:type="dxa"/>
            <w:left w:w="108" w:type="dxa"/>
            <w:bottom w:w="0" w:type="dxa"/>
            <w:right w:w="108" w:type="dxa"/>
          </w:tblCellMar>
        </w:tblPrEx>
        <w:trPr>
          <w:trHeight w:val="540" w:hRule="atLeast"/>
          <w:jc w:val="center"/>
        </w:trPr>
        <w:tc>
          <w:tcPr>
            <w:tcW w:w="58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宋体"/>
                <w:color w:val="000000"/>
                <w:kern w:val="0"/>
                <w:sz w:val="20"/>
                <w:szCs w:val="20"/>
              </w:rPr>
            </w:pPr>
          </w:p>
        </w:tc>
        <w:tc>
          <w:tcPr>
            <w:tcW w:w="2180" w:type="dxa"/>
            <w:gridSpan w:val="2"/>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身份证号码</w:t>
            </w:r>
          </w:p>
        </w:tc>
        <w:tc>
          <w:tcPr>
            <w:tcW w:w="3320" w:type="dxa"/>
            <w:gridSpan w:val="3"/>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　</w:t>
            </w:r>
          </w:p>
        </w:tc>
        <w:tc>
          <w:tcPr>
            <w:tcW w:w="2140" w:type="dxa"/>
            <w:gridSpan w:val="2"/>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身份证有效期</w:t>
            </w:r>
          </w:p>
        </w:tc>
        <w:tc>
          <w:tcPr>
            <w:tcW w:w="1720" w:type="dxa"/>
            <w:gridSpan w:val="2"/>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　</w:t>
            </w:r>
          </w:p>
        </w:tc>
      </w:tr>
      <w:tr>
        <w:tblPrEx>
          <w:tblLayout w:type="fixed"/>
          <w:tblCellMar>
            <w:top w:w="0" w:type="dxa"/>
            <w:left w:w="108" w:type="dxa"/>
            <w:bottom w:w="0" w:type="dxa"/>
            <w:right w:w="108" w:type="dxa"/>
          </w:tblCellMar>
        </w:tblPrEx>
        <w:trPr>
          <w:trHeight w:val="540" w:hRule="atLeast"/>
          <w:jc w:val="center"/>
        </w:trPr>
        <w:tc>
          <w:tcPr>
            <w:tcW w:w="58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宋体"/>
                <w:color w:val="000000"/>
                <w:kern w:val="0"/>
                <w:sz w:val="20"/>
                <w:szCs w:val="20"/>
              </w:rPr>
            </w:pPr>
          </w:p>
        </w:tc>
        <w:tc>
          <w:tcPr>
            <w:tcW w:w="2180" w:type="dxa"/>
            <w:gridSpan w:val="2"/>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劳动合同签订企业</w:t>
            </w:r>
          </w:p>
        </w:tc>
        <w:tc>
          <w:tcPr>
            <w:tcW w:w="3320" w:type="dxa"/>
            <w:gridSpan w:val="3"/>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　</w:t>
            </w:r>
          </w:p>
        </w:tc>
        <w:tc>
          <w:tcPr>
            <w:tcW w:w="2140" w:type="dxa"/>
            <w:gridSpan w:val="2"/>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合同有效期</w:t>
            </w:r>
          </w:p>
        </w:tc>
        <w:tc>
          <w:tcPr>
            <w:tcW w:w="1720" w:type="dxa"/>
            <w:gridSpan w:val="2"/>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　</w:t>
            </w:r>
          </w:p>
        </w:tc>
      </w:tr>
      <w:tr>
        <w:tblPrEx>
          <w:tblLayout w:type="fixed"/>
          <w:tblCellMar>
            <w:top w:w="0" w:type="dxa"/>
            <w:left w:w="108" w:type="dxa"/>
            <w:bottom w:w="0" w:type="dxa"/>
            <w:right w:w="108" w:type="dxa"/>
          </w:tblCellMar>
        </w:tblPrEx>
        <w:trPr>
          <w:trHeight w:val="540" w:hRule="atLeast"/>
          <w:jc w:val="center"/>
        </w:trPr>
        <w:tc>
          <w:tcPr>
            <w:tcW w:w="2760"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报名竞赛工种                           （在报名工种后画“√”）</w:t>
            </w:r>
          </w:p>
        </w:tc>
        <w:tc>
          <w:tcPr>
            <w:tcW w:w="1240"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物业管理员</w:t>
            </w:r>
          </w:p>
        </w:tc>
        <w:tc>
          <w:tcPr>
            <w:tcW w:w="2080" w:type="dxa"/>
            <w:gridSpan w:val="2"/>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　</w:t>
            </w:r>
          </w:p>
        </w:tc>
        <w:tc>
          <w:tcPr>
            <w:tcW w:w="2140" w:type="dxa"/>
            <w:gridSpan w:val="2"/>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电工</w:t>
            </w:r>
          </w:p>
        </w:tc>
        <w:tc>
          <w:tcPr>
            <w:tcW w:w="1720" w:type="dxa"/>
            <w:gridSpan w:val="2"/>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　</w:t>
            </w:r>
          </w:p>
        </w:tc>
      </w:tr>
      <w:tr>
        <w:tblPrEx>
          <w:tblLayout w:type="fixed"/>
          <w:tblCellMar>
            <w:top w:w="0" w:type="dxa"/>
            <w:left w:w="108" w:type="dxa"/>
            <w:bottom w:w="0" w:type="dxa"/>
            <w:right w:w="108" w:type="dxa"/>
          </w:tblCellMar>
        </w:tblPrEx>
        <w:trPr>
          <w:trHeight w:val="388" w:hRule="atLeast"/>
          <w:jc w:val="center"/>
        </w:trPr>
        <w:tc>
          <w:tcPr>
            <w:tcW w:w="580" w:type="dxa"/>
            <w:vMerge w:val="restart"/>
            <w:tcBorders>
              <w:top w:val="nil"/>
              <w:left w:val="single" w:color="auto" w:sz="4" w:space="0"/>
              <w:bottom w:val="single" w:color="auto" w:sz="4" w:space="0"/>
              <w:right w:val="single" w:color="auto" w:sz="4" w:space="0"/>
            </w:tcBorders>
            <w:vAlign w:val="center"/>
          </w:tcPr>
          <w:p>
            <w:pPr>
              <w:widowControl/>
              <w:spacing w:line="276" w:lineRule="auto"/>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物       业     管     理       员</w:t>
            </w:r>
          </w:p>
        </w:tc>
        <w:tc>
          <w:tcPr>
            <w:tcW w:w="2180" w:type="dxa"/>
            <w:gridSpan w:val="2"/>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所取得的证书名称1</w:t>
            </w:r>
          </w:p>
        </w:tc>
        <w:tc>
          <w:tcPr>
            <w:tcW w:w="3320" w:type="dxa"/>
            <w:gridSpan w:val="3"/>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　</w:t>
            </w:r>
          </w:p>
        </w:tc>
        <w:tc>
          <w:tcPr>
            <w:tcW w:w="2140" w:type="dxa"/>
            <w:gridSpan w:val="2"/>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证书编号</w:t>
            </w:r>
          </w:p>
        </w:tc>
        <w:tc>
          <w:tcPr>
            <w:tcW w:w="1720" w:type="dxa"/>
            <w:gridSpan w:val="2"/>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PrEx>
        <w:trPr>
          <w:trHeight w:val="481" w:hRule="atLeast"/>
          <w:jc w:val="center"/>
        </w:trPr>
        <w:tc>
          <w:tcPr>
            <w:tcW w:w="58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宋体"/>
                <w:color w:val="000000"/>
                <w:kern w:val="0"/>
                <w:sz w:val="20"/>
                <w:szCs w:val="20"/>
              </w:rPr>
            </w:pPr>
          </w:p>
        </w:tc>
        <w:tc>
          <w:tcPr>
            <w:tcW w:w="2180" w:type="dxa"/>
            <w:gridSpan w:val="2"/>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发证机构</w:t>
            </w:r>
          </w:p>
        </w:tc>
        <w:tc>
          <w:tcPr>
            <w:tcW w:w="3320" w:type="dxa"/>
            <w:gridSpan w:val="3"/>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140" w:type="dxa"/>
            <w:gridSpan w:val="2"/>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证书有效期</w:t>
            </w:r>
          </w:p>
        </w:tc>
        <w:tc>
          <w:tcPr>
            <w:tcW w:w="1720" w:type="dxa"/>
            <w:gridSpan w:val="2"/>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431" w:hRule="atLeast"/>
          <w:jc w:val="center"/>
        </w:trPr>
        <w:tc>
          <w:tcPr>
            <w:tcW w:w="58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宋体"/>
                <w:color w:val="000000"/>
                <w:kern w:val="0"/>
                <w:sz w:val="20"/>
                <w:szCs w:val="20"/>
              </w:rPr>
            </w:pPr>
          </w:p>
        </w:tc>
        <w:tc>
          <w:tcPr>
            <w:tcW w:w="2180" w:type="dxa"/>
            <w:gridSpan w:val="2"/>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所取得的证书名称2</w:t>
            </w:r>
          </w:p>
        </w:tc>
        <w:tc>
          <w:tcPr>
            <w:tcW w:w="3320" w:type="dxa"/>
            <w:gridSpan w:val="3"/>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　</w:t>
            </w:r>
          </w:p>
        </w:tc>
        <w:tc>
          <w:tcPr>
            <w:tcW w:w="2140" w:type="dxa"/>
            <w:gridSpan w:val="2"/>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证书编号</w:t>
            </w:r>
          </w:p>
        </w:tc>
        <w:tc>
          <w:tcPr>
            <w:tcW w:w="1720" w:type="dxa"/>
            <w:gridSpan w:val="2"/>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409" w:hRule="atLeast"/>
          <w:jc w:val="center"/>
        </w:trPr>
        <w:tc>
          <w:tcPr>
            <w:tcW w:w="58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宋体"/>
                <w:color w:val="000000"/>
                <w:kern w:val="0"/>
                <w:sz w:val="20"/>
                <w:szCs w:val="20"/>
              </w:rPr>
            </w:pPr>
          </w:p>
        </w:tc>
        <w:tc>
          <w:tcPr>
            <w:tcW w:w="2180" w:type="dxa"/>
            <w:gridSpan w:val="2"/>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发证机构</w:t>
            </w:r>
          </w:p>
        </w:tc>
        <w:tc>
          <w:tcPr>
            <w:tcW w:w="3320" w:type="dxa"/>
            <w:gridSpan w:val="3"/>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140" w:type="dxa"/>
            <w:gridSpan w:val="2"/>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证书有效期</w:t>
            </w:r>
          </w:p>
        </w:tc>
        <w:tc>
          <w:tcPr>
            <w:tcW w:w="1720" w:type="dxa"/>
            <w:gridSpan w:val="2"/>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540" w:hRule="atLeast"/>
          <w:jc w:val="center"/>
        </w:trPr>
        <w:tc>
          <w:tcPr>
            <w:tcW w:w="58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宋体"/>
                <w:color w:val="000000"/>
                <w:kern w:val="0"/>
                <w:sz w:val="20"/>
                <w:szCs w:val="20"/>
              </w:rPr>
            </w:pPr>
          </w:p>
        </w:tc>
        <w:tc>
          <w:tcPr>
            <w:tcW w:w="2180" w:type="dxa"/>
            <w:gridSpan w:val="2"/>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所取得的证书名称3</w:t>
            </w:r>
          </w:p>
        </w:tc>
        <w:tc>
          <w:tcPr>
            <w:tcW w:w="3320" w:type="dxa"/>
            <w:gridSpan w:val="3"/>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　</w:t>
            </w:r>
          </w:p>
        </w:tc>
        <w:tc>
          <w:tcPr>
            <w:tcW w:w="2140" w:type="dxa"/>
            <w:gridSpan w:val="2"/>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证书编号</w:t>
            </w:r>
          </w:p>
        </w:tc>
        <w:tc>
          <w:tcPr>
            <w:tcW w:w="1720" w:type="dxa"/>
            <w:gridSpan w:val="2"/>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380" w:hRule="atLeast"/>
          <w:jc w:val="center"/>
        </w:trPr>
        <w:tc>
          <w:tcPr>
            <w:tcW w:w="58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宋体"/>
                <w:color w:val="000000"/>
                <w:kern w:val="0"/>
                <w:sz w:val="20"/>
                <w:szCs w:val="20"/>
              </w:rPr>
            </w:pPr>
          </w:p>
        </w:tc>
        <w:tc>
          <w:tcPr>
            <w:tcW w:w="2180" w:type="dxa"/>
            <w:gridSpan w:val="2"/>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发证机构</w:t>
            </w:r>
          </w:p>
        </w:tc>
        <w:tc>
          <w:tcPr>
            <w:tcW w:w="3320" w:type="dxa"/>
            <w:gridSpan w:val="3"/>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140" w:type="dxa"/>
            <w:gridSpan w:val="2"/>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证书有效期</w:t>
            </w:r>
          </w:p>
        </w:tc>
        <w:tc>
          <w:tcPr>
            <w:tcW w:w="1720" w:type="dxa"/>
            <w:gridSpan w:val="2"/>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540" w:hRule="atLeast"/>
          <w:jc w:val="center"/>
        </w:trPr>
        <w:tc>
          <w:tcPr>
            <w:tcW w:w="580" w:type="dxa"/>
            <w:vMerge w:val="restart"/>
            <w:tcBorders>
              <w:top w:val="nil"/>
              <w:left w:val="single" w:color="auto" w:sz="4" w:space="0"/>
              <w:bottom w:val="single" w:color="auto" w:sz="4" w:space="0"/>
              <w:right w:val="single" w:color="auto" w:sz="4" w:space="0"/>
            </w:tcBorders>
            <w:vAlign w:val="center"/>
          </w:tcPr>
          <w:p>
            <w:pPr>
              <w:widowControl/>
              <w:spacing w:line="276" w:lineRule="auto"/>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电      工</w:t>
            </w:r>
          </w:p>
        </w:tc>
        <w:tc>
          <w:tcPr>
            <w:tcW w:w="2180" w:type="dxa"/>
            <w:gridSpan w:val="2"/>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特种作业操作证证号</w:t>
            </w:r>
          </w:p>
        </w:tc>
        <w:tc>
          <w:tcPr>
            <w:tcW w:w="1240"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　</w:t>
            </w:r>
          </w:p>
        </w:tc>
        <w:tc>
          <w:tcPr>
            <w:tcW w:w="1040"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作业类别</w:t>
            </w:r>
          </w:p>
        </w:tc>
        <w:tc>
          <w:tcPr>
            <w:tcW w:w="1040"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　</w:t>
            </w:r>
          </w:p>
        </w:tc>
        <w:tc>
          <w:tcPr>
            <w:tcW w:w="1040"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准操项目</w:t>
            </w:r>
          </w:p>
        </w:tc>
        <w:tc>
          <w:tcPr>
            <w:tcW w:w="1100"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　</w:t>
            </w:r>
          </w:p>
        </w:tc>
        <w:tc>
          <w:tcPr>
            <w:tcW w:w="880"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有效期</w:t>
            </w:r>
          </w:p>
        </w:tc>
        <w:tc>
          <w:tcPr>
            <w:tcW w:w="840"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PrEx>
        <w:trPr>
          <w:trHeight w:val="540" w:hRule="atLeast"/>
          <w:jc w:val="center"/>
        </w:trPr>
        <w:tc>
          <w:tcPr>
            <w:tcW w:w="58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宋体"/>
                <w:color w:val="000000"/>
                <w:kern w:val="0"/>
                <w:sz w:val="20"/>
                <w:szCs w:val="20"/>
              </w:rPr>
            </w:pPr>
          </w:p>
        </w:tc>
        <w:tc>
          <w:tcPr>
            <w:tcW w:w="2180" w:type="dxa"/>
            <w:gridSpan w:val="2"/>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特种作业操作证证号</w:t>
            </w:r>
          </w:p>
        </w:tc>
        <w:tc>
          <w:tcPr>
            <w:tcW w:w="1240"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　</w:t>
            </w:r>
          </w:p>
        </w:tc>
        <w:tc>
          <w:tcPr>
            <w:tcW w:w="1040"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作业类别</w:t>
            </w:r>
          </w:p>
        </w:tc>
        <w:tc>
          <w:tcPr>
            <w:tcW w:w="1040"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　</w:t>
            </w:r>
          </w:p>
        </w:tc>
        <w:tc>
          <w:tcPr>
            <w:tcW w:w="1040"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准操项目</w:t>
            </w:r>
          </w:p>
        </w:tc>
        <w:tc>
          <w:tcPr>
            <w:tcW w:w="1100"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　</w:t>
            </w:r>
          </w:p>
        </w:tc>
        <w:tc>
          <w:tcPr>
            <w:tcW w:w="880"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有效期</w:t>
            </w:r>
          </w:p>
        </w:tc>
        <w:tc>
          <w:tcPr>
            <w:tcW w:w="840"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540" w:hRule="atLeast"/>
          <w:jc w:val="center"/>
        </w:trPr>
        <w:tc>
          <w:tcPr>
            <w:tcW w:w="58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宋体"/>
                <w:color w:val="000000"/>
                <w:kern w:val="0"/>
                <w:sz w:val="20"/>
                <w:szCs w:val="20"/>
              </w:rPr>
            </w:pPr>
          </w:p>
        </w:tc>
        <w:tc>
          <w:tcPr>
            <w:tcW w:w="2180" w:type="dxa"/>
            <w:gridSpan w:val="2"/>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其他操作证书名称</w:t>
            </w:r>
          </w:p>
        </w:tc>
        <w:tc>
          <w:tcPr>
            <w:tcW w:w="1240"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　</w:t>
            </w:r>
          </w:p>
        </w:tc>
        <w:tc>
          <w:tcPr>
            <w:tcW w:w="1040"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证书编号</w:t>
            </w:r>
          </w:p>
        </w:tc>
        <w:tc>
          <w:tcPr>
            <w:tcW w:w="1040"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　</w:t>
            </w:r>
          </w:p>
        </w:tc>
        <w:tc>
          <w:tcPr>
            <w:tcW w:w="1040"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内容</w:t>
            </w:r>
          </w:p>
        </w:tc>
        <w:tc>
          <w:tcPr>
            <w:tcW w:w="1100"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　</w:t>
            </w:r>
          </w:p>
        </w:tc>
        <w:tc>
          <w:tcPr>
            <w:tcW w:w="880"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有效期</w:t>
            </w:r>
          </w:p>
        </w:tc>
        <w:tc>
          <w:tcPr>
            <w:tcW w:w="840"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540" w:hRule="atLeast"/>
          <w:jc w:val="center"/>
        </w:trPr>
        <w:tc>
          <w:tcPr>
            <w:tcW w:w="580"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宋体"/>
                <w:color w:val="000000"/>
                <w:kern w:val="0"/>
                <w:sz w:val="20"/>
                <w:szCs w:val="20"/>
              </w:rPr>
            </w:pPr>
          </w:p>
        </w:tc>
        <w:tc>
          <w:tcPr>
            <w:tcW w:w="2180" w:type="dxa"/>
            <w:gridSpan w:val="2"/>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其他操作证书名称</w:t>
            </w:r>
          </w:p>
        </w:tc>
        <w:tc>
          <w:tcPr>
            <w:tcW w:w="1240"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　</w:t>
            </w:r>
          </w:p>
        </w:tc>
        <w:tc>
          <w:tcPr>
            <w:tcW w:w="1040"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证书编号</w:t>
            </w:r>
          </w:p>
        </w:tc>
        <w:tc>
          <w:tcPr>
            <w:tcW w:w="1040"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　</w:t>
            </w:r>
          </w:p>
        </w:tc>
        <w:tc>
          <w:tcPr>
            <w:tcW w:w="1040"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内容</w:t>
            </w:r>
          </w:p>
        </w:tc>
        <w:tc>
          <w:tcPr>
            <w:tcW w:w="1100"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　</w:t>
            </w:r>
          </w:p>
        </w:tc>
        <w:tc>
          <w:tcPr>
            <w:tcW w:w="880"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有效期</w:t>
            </w:r>
          </w:p>
        </w:tc>
        <w:tc>
          <w:tcPr>
            <w:tcW w:w="840"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1152" w:hRule="atLeast"/>
          <w:jc w:val="center"/>
        </w:trPr>
        <w:tc>
          <w:tcPr>
            <w:tcW w:w="9940" w:type="dxa"/>
            <w:gridSpan w:val="10"/>
            <w:tcBorders>
              <w:top w:val="single" w:color="auto" w:sz="4" w:space="0"/>
              <w:left w:val="nil"/>
              <w:bottom w:val="nil"/>
              <w:right w:val="nil"/>
            </w:tcBorders>
            <w:vAlign w:val="center"/>
          </w:tcPr>
          <w:p>
            <w:pPr>
              <w:widowControl/>
              <w:spacing w:line="276" w:lineRule="auto"/>
              <w:jc w:val="left"/>
              <w:rPr>
                <w:rFonts w:ascii="仿宋" w:hAnsi="仿宋" w:eastAsia="仿宋" w:cs="宋体"/>
                <w:b/>
                <w:bCs/>
                <w:color w:val="000000"/>
                <w:kern w:val="0"/>
                <w:sz w:val="24"/>
              </w:rPr>
            </w:pPr>
            <w:r>
              <w:rPr>
                <w:rFonts w:hint="eastAsia" w:ascii="仿宋" w:hAnsi="仿宋" w:eastAsia="仿宋" w:cs="宋体"/>
                <w:b/>
                <w:bCs/>
                <w:color w:val="000000"/>
                <w:kern w:val="0"/>
                <w:sz w:val="24"/>
              </w:rPr>
              <w:t>备注：《第二届四川省物业管理行业职业技能竞赛报名信息登记表》和相关证明材料扫描件（或图片），需加盖企业公章，并于2018年4月10日前，发送至组委会指定邮箱：41268896@qq.com 。</w:t>
            </w:r>
          </w:p>
        </w:tc>
      </w:tr>
    </w:tbl>
    <w:p>
      <w:pPr>
        <w:pStyle w:val="4"/>
        <w:spacing w:before="0" w:beforeAutospacing="0" w:after="0" w:afterAutospacing="0" w:line="276" w:lineRule="auto"/>
        <w:rPr>
          <w:rFonts w:ascii="仿宋" w:hAnsi="仿宋" w:eastAsia="仿宋"/>
          <w:bCs/>
          <w:kern w:val="2"/>
          <w:sz w:val="32"/>
          <w:szCs w:val="32"/>
        </w:rPr>
      </w:pPr>
      <w:r>
        <w:rPr>
          <w:rFonts w:ascii="仿宋" w:hAnsi="仿宋" w:eastAsia="仿宋"/>
          <w:bCs/>
          <w:kern w:val="2"/>
          <w:sz w:val="32"/>
          <w:szCs w:val="32"/>
        </w:rPr>
        <w:br w:type="page"/>
      </w:r>
      <w:r>
        <w:rPr>
          <w:rFonts w:hint="eastAsia" w:ascii="仿宋" w:hAnsi="仿宋" w:eastAsia="仿宋"/>
          <w:bCs/>
          <w:kern w:val="2"/>
          <w:sz w:val="32"/>
          <w:szCs w:val="32"/>
        </w:rPr>
        <w:t>附件2：</w:t>
      </w:r>
    </w:p>
    <w:p>
      <w:pPr>
        <w:pStyle w:val="4"/>
        <w:spacing w:before="0" w:beforeAutospacing="0" w:after="0" w:afterAutospacing="0" w:line="276" w:lineRule="auto"/>
        <w:jc w:val="center"/>
        <w:rPr>
          <w:rFonts w:ascii="仿宋" w:hAnsi="仿宋" w:eastAsia="仿宋" w:cs="Times New Roman"/>
          <w:b/>
          <w:kern w:val="2"/>
          <w:sz w:val="44"/>
          <w:szCs w:val="44"/>
        </w:rPr>
      </w:pPr>
      <w:r>
        <w:rPr>
          <w:rFonts w:hint="eastAsia" w:ascii="仿宋" w:hAnsi="仿宋" w:eastAsia="仿宋" w:cs="Times New Roman"/>
          <w:b/>
          <w:kern w:val="2"/>
          <w:sz w:val="44"/>
          <w:szCs w:val="44"/>
        </w:rPr>
        <w:t>物业管理员职业技能竞赛技术文件</w:t>
      </w:r>
    </w:p>
    <w:p>
      <w:pPr>
        <w:pStyle w:val="4"/>
        <w:spacing w:before="0" w:beforeAutospacing="0" w:after="0" w:afterAutospacing="0" w:line="276" w:lineRule="auto"/>
        <w:jc w:val="center"/>
        <w:rPr>
          <w:rFonts w:ascii="仿宋" w:hAnsi="仿宋" w:eastAsia="仿宋" w:cs="华文中宋"/>
          <w:b/>
          <w:bCs/>
          <w:sz w:val="36"/>
          <w:szCs w:val="36"/>
        </w:rPr>
      </w:pPr>
    </w:p>
    <w:p>
      <w:pPr>
        <w:widowControl/>
        <w:shd w:val="clear" w:color="auto" w:fill="FFFFFF"/>
        <w:spacing w:line="276" w:lineRule="auto"/>
        <w:ind w:firstLine="640" w:firstLineChars="200"/>
        <w:jc w:val="left"/>
        <w:rPr>
          <w:rFonts w:ascii="仿宋" w:hAnsi="仿宋" w:eastAsia="仿宋"/>
          <w:b/>
          <w:color w:val="000000"/>
          <w:sz w:val="32"/>
          <w:szCs w:val="32"/>
        </w:rPr>
      </w:pPr>
      <w:r>
        <w:rPr>
          <w:rFonts w:hint="eastAsia" w:ascii="仿宋" w:hAnsi="仿宋" w:eastAsia="仿宋"/>
          <w:b/>
          <w:color w:val="000000"/>
          <w:sz w:val="32"/>
          <w:szCs w:val="32"/>
        </w:rPr>
        <w:t>一、竞赛范围</w:t>
      </w:r>
    </w:p>
    <w:p>
      <w:pPr>
        <w:widowControl/>
        <w:shd w:val="clear" w:color="auto" w:fill="FFFFFF"/>
        <w:spacing w:line="276"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竞赛以物业项目负责人应知应会的知识技能为基础，以物业项目负责人应具备的知识结构、综合素质和全面能力为重点，以原全国物业管理师职业资格考试大纲及参考教材等相关内容为参考。</w:t>
      </w:r>
    </w:p>
    <w:p>
      <w:pPr>
        <w:widowControl/>
        <w:shd w:val="clear" w:color="auto" w:fill="FFFFFF"/>
        <w:spacing w:line="276"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（一）理论知识主要考核参赛选手对物业管理基础知识及相关法律法规的理解和掌握程度，尤其是国家颁布的与物业管理相关的法律法规及政策。</w:t>
      </w:r>
    </w:p>
    <w:p>
      <w:pPr>
        <w:widowControl/>
        <w:shd w:val="clear" w:color="auto" w:fill="FFFFFF"/>
        <w:spacing w:line="276"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（二）实际操作主要考核参赛选手在物业管理日常经营管理中的组织协调、问题分析、纠纷调解、创新思考以及沟通交流等技能。</w:t>
      </w:r>
    </w:p>
    <w:p>
      <w:pPr>
        <w:widowControl/>
        <w:shd w:val="clear" w:color="auto" w:fill="FFFFFF"/>
        <w:spacing w:line="276" w:lineRule="auto"/>
        <w:ind w:firstLine="640" w:firstLineChars="200"/>
        <w:jc w:val="left"/>
        <w:rPr>
          <w:rFonts w:ascii="仿宋" w:hAnsi="仿宋" w:eastAsia="仿宋"/>
          <w:b/>
          <w:color w:val="000000"/>
          <w:sz w:val="32"/>
          <w:szCs w:val="32"/>
        </w:rPr>
      </w:pPr>
      <w:r>
        <w:rPr>
          <w:rFonts w:hint="eastAsia" w:ascii="仿宋" w:hAnsi="仿宋" w:eastAsia="仿宋"/>
          <w:b/>
          <w:color w:val="000000"/>
          <w:sz w:val="32"/>
          <w:szCs w:val="32"/>
        </w:rPr>
        <w:t>二、竞赛方法</w:t>
      </w:r>
    </w:p>
    <w:p>
      <w:pPr>
        <w:widowControl/>
        <w:shd w:val="clear" w:color="auto" w:fill="FFFFFF"/>
        <w:spacing w:line="276"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竞赛由理论知识考核和实际操作考核两部分组成。</w:t>
      </w:r>
    </w:p>
    <w:p>
      <w:pPr>
        <w:widowControl/>
        <w:shd w:val="clear" w:color="auto" w:fill="FFFFFF"/>
        <w:spacing w:line="276"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（一）理论知识考核采取闭卷书面考试方式，考试时间6</w:t>
      </w:r>
      <w:r>
        <w:rPr>
          <w:rFonts w:ascii="仿宋" w:hAnsi="仿宋" w:eastAsia="仿宋"/>
          <w:color w:val="000000"/>
          <w:sz w:val="32"/>
          <w:szCs w:val="32"/>
        </w:rPr>
        <w:t>0</w:t>
      </w:r>
      <w:r>
        <w:rPr>
          <w:rFonts w:hint="eastAsia" w:ascii="仿宋" w:hAnsi="仿宋" w:eastAsia="仿宋"/>
          <w:color w:val="000000"/>
          <w:sz w:val="32"/>
          <w:szCs w:val="32"/>
        </w:rPr>
        <w:t>分钟。题型有单项选择题和多项选择题。</w:t>
      </w:r>
    </w:p>
    <w:p>
      <w:pPr>
        <w:widowControl/>
        <w:shd w:val="clear" w:color="auto" w:fill="FFFFFF"/>
        <w:spacing w:line="276"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（二）实际操作考核采取闭卷书面考试和现场实地比赛相结合的方式，主要包括物业管理典型案例分析、岗位实际操作技能知识问答和个人主题演讲。</w:t>
      </w:r>
    </w:p>
    <w:p>
      <w:pPr>
        <w:widowControl/>
        <w:shd w:val="clear" w:color="auto" w:fill="FFFFFF"/>
        <w:spacing w:line="276"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物业管理典型案例分析采取闭卷书面考试方式，岗位实际操作技能知识问答和个人主题演讲均采取个人现场实地比赛方式。其中，岗位实际操作技能知识问答包括必答题和抢答题。必答题采用题板形式，每位选手均需作答，答对得分，答错扣分；抢答题采用抢答器，抢到者答题，答对得分，答错扣分。个人主题演讲，选手按组委会统一确定的演讲主题做5分钟准备后，做5分钟即时演讲。</w:t>
      </w:r>
    </w:p>
    <w:p>
      <w:pPr>
        <w:widowControl/>
        <w:shd w:val="clear" w:color="auto" w:fill="FFFFFF"/>
        <w:spacing w:line="276"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实际操作考核中的理论知识、案例分析、知识问答及主题演讲四轮竞赛均按1</w:t>
      </w:r>
      <w:r>
        <w:rPr>
          <w:rFonts w:ascii="仿宋" w:hAnsi="仿宋" w:eastAsia="仿宋"/>
          <w:color w:val="000000"/>
          <w:sz w:val="32"/>
          <w:szCs w:val="32"/>
        </w:rPr>
        <w:t>00</w:t>
      </w:r>
      <w:r>
        <w:rPr>
          <w:rFonts w:hint="eastAsia" w:ascii="仿宋" w:hAnsi="仿宋" w:eastAsia="仿宋"/>
          <w:color w:val="000000"/>
          <w:sz w:val="32"/>
          <w:szCs w:val="32"/>
        </w:rPr>
        <w:t>分计算，各轮成绩分别占总成绩的3</w:t>
      </w:r>
      <w:r>
        <w:rPr>
          <w:rFonts w:ascii="仿宋" w:hAnsi="仿宋" w:eastAsia="仿宋"/>
          <w:color w:val="000000"/>
          <w:sz w:val="32"/>
          <w:szCs w:val="32"/>
        </w:rPr>
        <w:t>0</w:t>
      </w:r>
      <w:r>
        <w:rPr>
          <w:rFonts w:hint="eastAsia" w:ascii="仿宋" w:hAnsi="仿宋" w:eastAsia="仿宋"/>
          <w:color w:val="000000"/>
          <w:sz w:val="32"/>
          <w:szCs w:val="32"/>
        </w:rPr>
        <w:t>%、</w:t>
      </w:r>
      <w:r>
        <w:rPr>
          <w:rFonts w:ascii="仿宋" w:hAnsi="仿宋" w:eastAsia="仿宋"/>
          <w:color w:val="000000"/>
          <w:sz w:val="32"/>
          <w:szCs w:val="32"/>
        </w:rPr>
        <w:t>25</w:t>
      </w:r>
      <w:r>
        <w:rPr>
          <w:rFonts w:hint="eastAsia" w:ascii="仿宋" w:hAnsi="仿宋" w:eastAsia="仿宋"/>
          <w:color w:val="000000"/>
          <w:sz w:val="32"/>
          <w:szCs w:val="32"/>
        </w:rPr>
        <w:t>%、</w:t>
      </w:r>
      <w:r>
        <w:rPr>
          <w:rFonts w:ascii="仿宋" w:hAnsi="仿宋" w:eastAsia="仿宋"/>
          <w:color w:val="000000"/>
          <w:sz w:val="32"/>
          <w:szCs w:val="32"/>
        </w:rPr>
        <w:t>25</w:t>
      </w:r>
      <w:r>
        <w:rPr>
          <w:rFonts w:hint="eastAsia" w:ascii="仿宋" w:hAnsi="仿宋" w:eastAsia="仿宋"/>
          <w:color w:val="000000"/>
          <w:sz w:val="32"/>
          <w:szCs w:val="32"/>
        </w:rPr>
        <w:t>%、</w:t>
      </w:r>
      <w:r>
        <w:rPr>
          <w:rFonts w:ascii="仿宋" w:hAnsi="仿宋" w:eastAsia="仿宋"/>
          <w:color w:val="000000"/>
          <w:sz w:val="32"/>
          <w:szCs w:val="32"/>
        </w:rPr>
        <w:t>20</w:t>
      </w:r>
      <w:r>
        <w:rPr>
          <w:rFonts w:hint="eastAsia" w:ascii="仿宋" w:hAnsi="仿宋" w:eastAsia="仿宋"/>
          <w:color w:val="000000"/>
          <w:sz w:val="32"/>
          <w:szCs w:val="32"/>
        </w:rPr>
        <w:t>%，采取逐轮淘汰方式，每一轮被淘汰的选手不再参加下一轮比赛。</w:t>
      </w:r>
    </w:p>
    <w:p>
      <w:pPr>
        <w:widowControl/>
        <w:shd w:val="clear" w:color="auto" w:fill="FFFFFF"/>
        <w:spacing w:line="276" w:lineRule="auto"/>
        <w:ind w:firstLine="640" w:firstLineChars="200"/>
        <w:jc w:val="left"/>
        <w:rPr>
          <w:rFonts w:ascii="仿宋" w:hAnsi="仿宋" w:eastAsia="仿宋"/>
          <w:b/>
          <w:color w:val="000000"/>
          <w:sz w:val="32"/>
          <w:szCs w:val="32"/>
        </w:rPr>
      </w:pPr>
      <w:r>
        <w:rPr>
          <w:rFonts w:hint="eastAsia" w:ascii="仿宋" w:hAnsi="仿宋" w:eastAsia="仿宋"/>
          <w:b/>
          <w:color w:val="000000"/>
          <w:sz w:val="32"/>
          <w:szCs w:val="32"/>
        </w:rPr>
        <w:t>三、竞赛命题</w:t>
      </w:r>
    </w:p>
    <w:p>
      <w:pPr>
        <w:widowControl/>
        <w:shd w:val="clear" w:color="auto" w:fill="FFFFFF"/>
        <w:spacing w:line="276"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竞赛命题工作由组委会根据竞赛技术文件统一组织实施。</w:t>
      </w:r>
    </w:p>
    <w:p>
      <w:pPr>
        <w:widowControl/>
        <w:shd w:val="clear" w:color="auto" w:fill="FFFFFF"/>
        <w:spacing w:line="276" w:lineRule="auto"/>
        <w:ind w:firstLine="640" w:firstLineChars="200"/>
        <w:jc w:val="left"/>
        <w:rPr>
          <w:rFonts w:ascii="仿宋" w:hAnsi="仿宋" w:eastAsia="仿宋"/>
          <w:b/>
          <w:color w:val="000000"/>
          <w:sz w:val="32"/>
          <w:szCs w:val="32"/>
        </w:rPr>
      </w:pPr>
      <w:r>
        <w:rPr>
          <w:rFonts w:hint="eastAsia" w:ascii="仿宋" w:hAnsi="仿宋" w:eastAsia="仿宋"/>
          <w:b/>
          <w:color w:val="000000"/>
          <w:sz w:val="32"/>
          <w:szCs w:val="32"/>
        </w:rPr>
        <w:t>四、参考资料</w:t>
      </w:r>
    </w:p>
    <w:p>
      <w:pPr>
        <w:widowControl/>
        <w:shd w:val="clear" w:color="auto" w:fill="FFFFFF"/>
        <w:spacing w:line="276"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（一）原全国物业管理师资格考试大纲和参考教材；</w:t>
      </w:r>
    </w:p>
    <w:p>
      <w:pPr>
        <w:widowControl/>
        <w:shd w:val="clear" w:color="auto" w:fill="FFFFFF"/>
        <w:spacing w:line="276"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（二）国家颁布的与物业管理有关的法律法规和政策；</w:t>
      </w:r>
    </w:p>
    <w:p>
      <w:pPr>
        <w:widowControl/>
        <w:shd w:val="clear" w:color="auto" w:fill="FFFFFF"/>
        <w:spacing w:line="276"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（三）中国物协组织编写的教材和颁布的推进物业管理行业发展、规范物业管理实施的相关文件。</w:t>
      </w:r>
    </w:p>
    <w:p>
      <w:pPr>
        <w:widowControl/>
        <w:shd w:val="clear" w:color="auto" w:fill="FFFFFF"/>
        <w:spacing w:line="276" w:lineRule="auto"/>
        <w:ind w:firstLine="640" w:firstLineChars="200"/>
        <w:jc w:val="left"/>
        <w:rPr>
          <w:rFonts w:ascii="仿宋" w:hAnsi="仿宋" w:eastAsia="仿宋"/>
          <w:color w:val="000000"/>
          <w:sz w:val="32"/>
          <w:szCs w:val="32"/>
        </w:rPr>
      </w:pPr>
    </w:p>
    <w:p>
      <w:pPr>
        <w:snapToGrid w:val="0"/>
        <w:spacing w:line="276" w:lineRule="auto"/>
        <w:rPr>
          <w:rFonts w:ascii="仿宋" w:hAnsi="仿宋" w:eastAsia="仿宋" w:cs="宋体"/>
          <w:bCs/>
          <w:sz w:val="32"/>
          <w:szCs w:val="32"/>
        </w:rPr>
      </w:pPr>
      <w:r>
        <w:rPr>
          <w:rFonts w:ascii="仿宋" w:hAnsi="仿宋" w:eastAsia="仿宋" w:cs="宋体"/>
          <w:bCs/>
          <w:sz w:val="32"/>
          <w:szCs w:val="32"/>
        </w:rPr>
        <w:br w:type="page"/>
      </w:r>
      <w:r>
        <w:rPr>
          <w:rFonts w:hint="eastAsia" w:ascii="仿宋" w:hAnsi="仿宋" w:eastAsia="仿宋" w:cs="宋体"/>
          <w:bCs/>
          <w:sz w:val="32"/>
          <w:szCs w:val="32"/>
        </w:rPr>
        <w:t>附件3：</w:t>
      </w:r>
    </w:p>
    <w:p>
      <w:pPr>
        <w:snapToGrid w:val="0"/>
        <w:spacing w:line="276" w:lineRule="auto"/>
        <w:ind w:firstLine="880" w:firstLineChars="200"/>
        <w:jc w:val="center"/>
        <w:rPr>
          <w:rFonts w:hint="eastAsia" w:ascii="仿宋" w:hAnsi="仿宋" w:eastAsia="仿宋"/>
          <w:b/>
          <w:sz w:val="44"/>
          <w:szCs w:val="44"/>
        </w:rPr>
      </w:pPr>
      <w:r>
        <w:rPr>
          <w:rFonts w:hint="eastAsia" w:ascii="仿宋" w:hAnsi="仿宋" w:eastAsia="仿宋"/>
          <w:b/>
          <w:sz w:val="44"/>
          <w:szCs w:val="44"/>
        </w:rPr>
        <w:t>电工职业技能竞赛技术文件</w:t>
      </w:r>
    </w:p>
    <w:p>
      <w:pPr>
        <w:snapToGrid w:val="0"/>
        <w:spacing w:line="276" w:lineRule="auto"/>
        <w:ind w:firstLine="880" w:firstLineChars="200"/>
        <w:jc w:val="center"/>
        <w:rPr>
          <w:rFonts w:hint="eastAsia" w:ascii="仿宋" w:hAnsi="仿宋" w:eastAsia="仿宋"/>
          <w:b/>
          <w:sz w:val="44"/>
          <w:szCs w:val="44"/>
        </w:rPr>
      </w:pPr>
    </w:p>
    <w:p>
      <w:pPr>
        <w:widowControl/>
        <w:shd w:val="clear" w:color="auto" w:fill="FFFFFF"/>
        <w:spacing w:line="276" w:lineRule="auto"/>
        <w:ind w:firstLine="640" w:firstLineChars="200"/>
        <w:jc w:val="left"/>
        <w:rPr>
          <w:rFonts w:ascii="仿宋" w:hAnsi="仿宋" w:eastAsia="仿宋"/>
          <w:b/>
          <w:color w:val="000000"/>
          <w:sz w:val="32"/>
          <w:szCs w:val="32"/>
        </w:rPr>
      </w:pPr>
      <w:r>
        <w:rPr>
          <w:rFonts w:hint="eastAsia" w:ascii="仿宋" w:hAnsi="仿宋" w:eastAsia="仿宋"/>
          <w:b/>
          <w:color w:val="000000"/>
          <w:sz w:val="32"/>
          <w:szCs w:val="32"/>
        </w:rPr>
        <w:t>一、竞赛范围</w:t>
      </w:r>
    </w:p>
    <w:p>
      <w:pPr>
        <w:widowControl/>
        <w:shd w:val="clear" w:color="auto" w:fill="FFFFFF"/>
        <w:spacing w:line="276"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（一）基本知识</w:t>
      </w:r>
    </w:p>
    <w:p>
      <w:pPr>
        <w:widowControl/>
        <w:shd w:val="clear" w:color="auto" w:fill="FFFFFF"/>
        <w:spacing w:line="276"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低压维修电工以及智能建筑、电梯消防和安全生产等方面的基础知识。</w:t>
      </w:r>
    </w:p>
    <w:p>
      <w:pPr>
        <w:widowControl/>
        <w:shd w:val="clear" w:color="auto" w:fill="FFFFFF"/>
        <w:spacing w:line="276"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（二）运行与维护</w:t>
      </w:r>
    </w:p>
    <w:p>
      <w:pPr>
        <w:widowControl/>
        <w:shd w:val="clear" w:color="auto" w:fill="FFFFFF"/>
        <w:spacing w:line="276"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低压电气、智能建筑、电梯、消防以及安全生产等方面的运行和维护。</w:t>
      </w:r>
    </w:p>
    <w:p>
      <w:pPr>
        <w:widowControl/>
        <w:shd w:val="clear" w:color="auto" w:fill="FFFFFF"/>
        <w:spacing w:line="276" w:lineRule="auto"/>
        <w:ind w:firstLine="640" w:firstLineChars="200"/>
        <w:jc w:val="left"/>
        <w:rPr>
          <w:rFonts w:ascii="仿宋" w:hAnsi="仿宋" w:eastAsia="仿宋"/>
          <w:b/>
          <w:color w:val="000000"/>
          <w:sz w:val="32"/>
          <w:szCs w:val="32"/>
        </w:rPr>
      </w:pPr>
      <w:r>
        <w:rPr>
          <w:rFonts w:hint="eastAsia" w:ascii="仿宋" w:hAnsi="仿宋" w:eastAsia="仿宋"/>
          <w:b/>
          <w:color w:val="000000"/>
          <w:sz w:val="32"/>
          <w:szCs w:val="32"/>
        </w:rPr>
        <w:t>二、竞赛方法</w:t>
      </w:r>
    </w:p>
    <w:p>
      <w:pPr>
        <w:widowControl/>
        <w:shd w:val="clear" w:color="auto" w:fill="FFFFFF"/>
        <w:spacing w:line="276"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竞赛由理论知识考核和实际操作考核两部分组成。两部分的竞赛成绩分别按1</w:t>
      </w:r>
      <w:r>
        <w:rPr>
          <w:rFonts w:ascii="仿宋" w:hAnsi="仿宋" w:eastAsia="仿宋"/>
          <w:color w:val="000000"/>
          <w:sz w:val="32"/>
          <w:szCs w:val="32"/>
        </w:rPr>
        <w:t>00</w:t>
      </w:r>
      <w:r>
        <w:rPr>
          <w:rFonts w:hint="eastAsia" w:ascii="仿宋" w:hAnsi="仿宋" w:eastAsia="仿宋"/>
          <w:color w:val="000000"/>
          <w:sz w:val="32"/>
          <w:szCs w:val="32"/>
        </w:rPr>
        <w:t>分计算，其中理论知识占总成绩的30%，实际操作占总成绩的70%。理论知识考核采取闭卷考试形式，时间为60 分钟。实际操作考核采取现场实地比赛方式，有故障排除和线路连接调试等内容，时间为180 分钟。</w:t>
      </w:r>
    </w:p>
    <w:p>
      <w:pPr>
        <w:widowControl/>
        <w:shd w:val="clear" w:color="auto" w:fill="FFFFFF"/>
        <w:spacing w:line="276" w:lineRule="auto"/>
        <w:ind w:firstLine="640" w:firstLineChars="200"/>
        <w:jc w:val="left"/>
        <w:rPr>
          <w:rFonts w:ascii="仿宋" w:hAnsi="仿宋" w:eastAsia="仿宋"/>
          <w:b/>
          <w:color w:val="000000"/>
          <w:sz w:val="32"/>
          <w:szCs w:val="32"/>
        </w:rPr>
      </w:pPr>
      <w:r>
        <w:rPr>
          <w:rFonts w:hint="eastAsia" w:ascii="仿宋" w:hAnsi="仿宋" w:eastAsia="仿宋"/>
          <w:b/>
          <w:color w:val="000000"/>
          <w:sz w:val="32"/>
          <w:szCs w:val="32"/>
        </w:rPr>
        <w:t>三、竞赛命题</w:t>
      </w:r>
    </w:p>
    <w:p>
      <w:pPr>
        <w:widowControl/>
        <w:shd w:val="clear" w:color="auto" w:fill="FFFFFF"/>
        <w:spacing w:line="276"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竞赛命题工作由组委会根据竞赛技术文件统一组织实施。</w:t>
      </w:r>
    </w:p>
    <w:p>
      <w:pPr>
        <w:widowControl/>
        <w:shd w:val="clear" w:color="auto" w:fill="FFFFFF"/>
        <w:spacing w:line="276" w:lineRule="auto"/>
        <w:ind w:firstLine="640" w:firstLineChars="200"/>
        <w:jc w:val="left"/>
        <w:rPr>
          <w:rFonts w:ascii="仿宋" w:hAnsi="仿宋" w:eastAsia="仿宋"/>
          <w:b/>
          <w:color w:val="000000"/>
          <w:sz w:val="32"/>
          <w:szCs w:val="32"/>
        </w:rPr>
      </w:pPr>
      <w:r>
        <w:rPr>
          <w:rFonts w:ascii="仿宋" w:hAnsi="仿宋" w:eastAsia="仿宋"/>
          <w:b/>
          <w:color w:val="000000"/>
          <w:sz w:val="32"/>
          <w:szCs w:val="32"/>
        </w:rPr>
        <w:br w:type="page"/>
      </w:r>
      <w:r>
        <w:rPr>
          <w:rFonts w:hint="eastAsia" w:ascii="仿宋" w:hAnsi="仿宋" w:eastAsia="仿宋"/>
          <w:b/>
          <w:color w:val="000000"/>
          <w:sz w:val="32"/>
          <w:szCs w:val="32"/>
        </w:rPr>
        <w:t>四、参考资料</w:t>
      </w:r>
    </w:p>
    <w:p>
      <w:pPr>
        <w:widowControl/>
        <w:shd w:val="clear" w:color="auto" w:fill="FFFFFF"/>
        <w:spacing w:line="276"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（一）国家技术标准部分：</w:t>
      </w:r>
    </w:p>
    <w:p>
      <w:pPr>
        <w:widowControl/>
        <w:shd w:val="clear" w:color="auto" w:fill="FFFFFF"/>
        <w:spacing w:line="276"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1.电气有关标准：</w:t>
      </w:r>
    </w:p>
    <w:p>
      <w:pPr>
        <w:widowControl/>
        <w:shd w:val="clear" w:color="auto" w:fill="FFFFFF"/>
        <w:spacing w:line="276"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《建筑电气工程施工质量验收规范》（GB50303-2015）</w:t>
      </w:r>
    </w:p>
    <w:p>
      <w:pPr>
        <w:widowControl/>
        <w:shd w:val="clear" w:color="auto" w:fill="FFFFFF"/>
        <w:spacing w:line="276"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《电气装置安装工程接地装置施工及验收规范》（GB50169-2016）</w:t>
      </w:r>
    </w:p>
    <w:p>
      <w:pPr>
        <w:widowControl/>
        <w:shd w:val="clear" w:color="auto" w:fill="FFFFFF"/>
        <w:spacing w:line="276"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《电气装置安装工程旋转电机施工及验收规范》（GB50170-2006)</w:t>
      </w:r>
    </w:p>
    <w:p>
      <w:pPr>
        <w:widowControl/>
        <w:shd w:val="clear" w:color="auto" w:fill="FFFFFF"/>
        <w:spacing w:line="276"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《建筑电气照明装置施工与验收规范 》（GB 50617-2010）</w:t>
      </w:r>
    </w:p>
    <w:p>
      <w:pPr>
        <w:widowControl/>
        <w:shd w:val="clear" w:color="auto" w:fill="FFFFFF"/>
        <w:spacing w:line="276"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2.弱电有关标准：</w:t>
      </w:r>
    </w:p>
    <w:p>
      <w:pPr>
        <w:widowControl/>
        <w:shd w:val="clear" w:color="auto" w:fill="FFFFFF"/>
        <w:spacing w:line="276"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《智能建筑工程质量验收规范》（GB50339-2003）</w:t>
      </w:r>
    </w:p>
    <w:p>
      <w:pPr>
        <w:widowControl/>
        <w:shd w:val="clear" w:color="auto" w:fill="FFFFFF"/>
        <w:spacing w:line="276"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《安全防范系统验收规则》（GA308—2001）</w:t>
      </w:r>
    </w:p>
    <w:p>
      <w:pPr>
        <w:widowControl/>
        <w:shd w:val="clear" w:color="auto" w:fill="FFFFFF"/>
        <w:spacing w:line="276"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《防盗报警控制器通用技术条件》（GB12663-2001）</w:t>
      </w:r>
    </w:p>
    <w:p>
      <w:pPr>
        <w:widowControl/>
        <w:shd w:val="clear" w:color="auto" w:fill="FFFFFF"/>
        <w:spacing w:line="276"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《出入口控制系统技术要求》(GA/T394-2002)</w:t>
      </w:r>
    </w:p>
    <w:p>
      <w:pPr>
        <w:widowControl/>
        <w:shd w:val="clear" w:color="auto" w:fill="FFFFFF"/>
        <w:spacing w:line="276"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《民用建筑闭路监视电视系统工程设计规范》（CB50198-2011）</w:t>
      </w:r>
    </w:p>
    <w:p>
      <w:pPr>
        <w:widowControl/>
        <w:shd w:val="clear" w:color="auto" w:fill="FFFFFF"/>
        <w:spacing w:line="276"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《电子会议系统工程施工与质量验收规范》（GB 51043-2014）</w:t>
      </w:r>
    </w:p>
    <w:p>
      <w:pPr>
        <w:widowControl/>
        <w:shd w:val="clear" w:color="auto" w:fill="FFFFFF"/>
        <w:spacing w:line="276"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3.电梯有关标准：</w:t>
      </w:r>
    </w:p>
    <w:p>
      <w:pPr>
        <w:widowControl/>
        <w:shd w:val="clear" w:color="auto" w:fill="FFFFFF"/>
        <w:spacing w:line="276"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《电梯工程质量施工验收规范》（GB50310—2002）</w:t>
      </w:r>
    </w:p>
    <w:p>
      <w:pPr>
        <w:widowControl/>
        <w:shd w:val="clear" w:color="auto" w:fill="FFFFFF"/>
        <w:spacing w:line="276"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《电梯监督检验规程》附件二：“电梯监督检验内容要求与方法”；</w:t>
      </w:r>
    </w:p>
    <w:p>
      <w:pPr>
        <w:widowControl/>
        <w:shd w:val="clear" w:color="auto" w:fill="FFFFFF"/>
        <w:spacing w:line="276"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4.消防有关标准：</w:t>
      </w:r>
    </w:p>
    <w:p>
      <w:pPr>
        <w:widowControl/>
        <w:shd w:val="clear" w:color="auto" w:fill="FFFFFF"/>
        <w:spacing w:line="276"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《火灾自动报警系统设计规范》（GB 50116 – 2013）</w:t>
      </w:r>
    </w:p>
    <w:p>
      <w:pPr>
        <w:widowControl/>
        <w:shd w:val="clear" w:color="auto" w:fill="FFFFFF"/>
        <w:spacing w:line="276"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《消防给水及消火栓系统技术规范》（GB50974－2014）</w:t>
      </w:r>
    </w:p>
    <w:p>
      <w:pPr>
        <w:widowControl/>
        <w:shd w:val="clear" w:color="auto" w:fill="FFFFFF"/>
        <w:spacing w:line="276"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《自动喷水灭火系统施工及验收规范》（GB 50261 — 2005）；</w:t>
      </w:r>
    </w:p>
    <w:p>
      <w:pPr>
        <w:widowControl/>
        <w:shd w:val="clear" w:color="auto" w:fill="FFFFFF"/>
        <w:spacing w:line="276"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5.安全生产有关文件：</w:t>
      </w:r>
    </w:p>
    <w:p>
      <w:pPr>
        <w:widowControl/>
        <w:shd w:val="clear" w:color="auto" w:fill="FFFFFF"/>
        <w:spacing w:line="276"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《中华人民共和国安全生产法》</w:t>
      </w:r>
    </w:p>
    <w:p>
      <w:pPr>
        <w:widowControl/>
        <w:shd w:val="clear" w:color="auto" w:fill="FFFFFF"/>
        <w:spacing w:line="276"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《中华人民共和国特种设备安全法》</w:t>
      </w:r>
    </w:p>
    <w:p>
      <w:pPr>
        <w:widowControl/>
        <w:shd w:val="clear" w:color="auto" w:fill="FFFFFF"/>
        <w:spacing w:line="276"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《中华人民共和国特种设备监察条例》</w:t>
      </w:r>
    </w:p>
    <w:p>
      <w:pPr>
        <w:widowControl/>
        <w:shd w:val="clear" w:color="auto" w:fill="FFFFFF"/>
        <w:spacing w:line="276"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（二）国家职业技能鉴定标准部分：</w:t>
      </w:r>
    </w:p>
    <w:p>
      <w:pPr>
        <w:widowControl/>
        <w:shd w:val="clear" w:color="auto" w:fill="FFFFFF"/>
        <w:spacing w:line="276"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维修电工（初级、中级、高级）第2版（人力资源和社会保障部教材办公室 组织编写）</w:t>
      </w:r>
    </w:p>
    <w:p>
      <w:pPr>
        <w:widowControl/>
        <w:shd w:val="clear" w:color="auto" w:fill="FFFFFF"/>
        <w:spacing w:line="276"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（三）物业管理参考教材部分</w:t>
      </w:r>
    </w:p>
    <w:p>
      <w:pPr>
        <w:widowControl/>
        <w:shd w:val="clear" w:color="auto" w:fill="FFFFFF"/>
        <w:spacing w:line="276"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《物业管理指南》系列丛书（中国物业管理协会 编著）</w:t>
      </w:r>
    </w:p>
    <w:p>
      <w:pPr>
        <w:widowControl/>
        <w:shd w:val="clear" w:color="auto" w:fill="FFFFFF"/>
        <w:spacing w:line="276"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《物业设施设备管理指南》（中国物业管理协会 编著）</w:t>
      </w:r>
    </w:p>
    <w:p>
      <w:pPr>
        <w:widowControl/>
        <w:shd w:val="clear" w:color="auto" w:fill="FFFFFF"/>
        <w:spacing w:line="276" w:lineRule="auto"/>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《物业承接查验操作指南》（中国物业管理协会 编著）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大标宋简体">
    <w:altName w:val="微软雅黑"/>
    <w:panose1 w:val="02010601030101010101"/>
    <w:charset w:val="86"/>
    <w:family w:val="auto"/>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separate"/>
    </w:r>
    <w:r>
      <w:rPr>
        <w:rStyle w:val="7"/>
      </w:rPr>
      <w:t>1</w:t>
    </w:r>
    <w:r>
      <w:fldChar w:fldCharType="end"/>
    </w:r>
  </w:p>
  <w:p>
    <w:pPr>
      <w:pStyle w:val="3"/>
      <w:ind w:right="360" w:firstLine="360"/>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005DEF"/>
    <w:rsid w:val="74005D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paragraph" w:styleId="2">
    <w:name w:val="heading 3"/>
    <w:basedOn w:val="1"/>
    <w:next w:val="1"/>
    <w:semiHidden/>
    <w:unhideWhenUsed/>
    <w:qFormat/>
    <w:uiPriority w:val="0"/>
    <w:pPr>
      <w:widowControl/>
      <w:spacing w:before="100" w:beforeAutospacing="1" w:after="100" w:afterAutospacing="1"/>
      <w:jc w:val="left"/>
      <w:outlineLvl w:val="2"/>
    </w:pPr>
    <w:rPr>
      <w:rFonts w:ascii="宋体" w:hAnsi="宋体"/>
      <w:b/>
      <w:bCs/>
      <w:kern w:val="0"/>
      <w:sz w:val="27"/>
      <w:szCs w:val="27"/>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0"/>
    <w:rPr>
      <w:b/>
      <w:bCs/>
    </w:rPr>
  </w:style>
  <w:style w:type="character" w:styleId="7">
    <w:name w:val="page number"/>
    <w:basedOn w:val="5"/>
    <w:uiPriority w:val="0"/>
  </w:style>
  <w:style w:type="paragraph" w:customStyle="1" w:styleId="9">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2018-03-22T13:52:00Z</dcterms:created>
  <dc:creator>草字头1105</dc:creator>
  <cp:lastModifiedBy>草字头1105</cp:lastModifiedBy>
  <dcterms:modified xsi:type="dcterms:W3CDTF">2018-03-22T13:53:35Z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